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0B241" w14:textId="73FF0296" w:rsidR="00CE1364" w:rsidRDefault="005430FB">
      <w:pPr>
        <w:pStyle w:val="P68B1DB1-Normal1"/>
        <w:tabs>
          <w:tab w:val="num" w:pos="720"/>
        </w:tabs>
        <w:spacing w:line="216" w:lineRule="auto"/>
        <w:jc w:val="center"/>
      </w:pPr>
      <w:r>
        <w:t>Module d’assurance qualité lors de l’utilisation de</w:t>
      </w:r>
      <w:r w:rsidR="002659C5">
        <w:t>s</w:t>
      </w:r>
      <w:r>
        <w:t xml:space="preserve"> données administratives et autres</w:t>
      </w:r>
      <w:r w:rsidR="0031618E">
        <w:t xml:space="preserve"> sources</w:t>
      </w:r>
      <w:r>
        <w:t xml:space="preserve"> </w:t>
      </w:r>
      <w:r w:rsidR="001A5F74">
        <w:t xml:space="preserve">de données </w:t>
      </w:r>
      <w:r>
        <w:t xml:space="preserve">pour produire </w:t>
      </w:r>
      <w:r w:rsidR="002659C5">
        <w:t xml:space="preserve">les </w:t>
      </w:r>
      <w:r>
        <w:t>statistiques officielles</w:t>
      </w:r>
    </w:p>
    <w:p w14:paraId="5D5D4103" w14:textId="0B111331" w:rsidR="00CE1364" w:rsidRDefault="0031618E" w:rsidP="00E94DC8">
      <w:pPr>
        <w:pStyle w:val="P68B1DB1-Normal2"/>
        <w:tabs>
          <w:tab w:val="num" w:pos="720"/>
        </w:tabs>
        <w:spacing w:after="0" w:line="216" w:lineRule="auto"/>
        <w:jc w:val="center"/>
      </w:pPr>
      <w:r>
        <w:t xml:space="preserve">Préparé </w:t>
      </w:r>
      <w:r w:rsidR="005430FB">
        <w:t>par le Sous-groupe sur les données administratives et autres</w:t>
      </w:r>
      <w:r>
        <w:t xml:space="preserve"> sources</w:t>
      </w:r>
      <w:r w:rsidR="002659C5">
        <w:t xml:space="preserve"> des </w:t>
      </w:r>
      <w:r w:rsidR="002659C5">
        <w:rPr>
          <w:lang w:val="fr-FR"/>
        </w:rPr>
        <w:t xml:space="preserve">données </w:t>
      </w:r>
      <w:r w:rsidR="005430FB">
        <w:t>du Groupe d</w:t>
      </w:r>
      <w:r w:rsidR="002659C5">
        <w:t xml:space="preserve">es </w:t>
      </w:r>
      <w:r w:rsidR="005430FB">
        <w:t>experts des Nations Unies sur les cadres nationaux d’assurance de la qualité (</w:t>
      </w:r>
      <w:r w:rsidR="002659C5">
        <w:t>GE</w:t>
      </w:r>
      <w:r w:rsidR="005430FB">
        <w:t>-</w:t>
      </w:r>
      <w:r w:rsidR="002659C5">
        <w:t>CNQA</w:t>
      </w:r>
      <w:r w:rsidR="005430FB">
        <w:t>)</w:t>
      </w:r>
      <w:r w:rsidR="005430FB">
        <w:rPr>
          <w:rStyle w:val="FootnoteReference"/>
        </w:rPr>
        <w:footnoteReference w:id="2"/>
      </w:r>
    </w:p>
    <w:p w14:paraId="5D94067A" w14:textId="3E614935" w:rsidR="00CE1364" w:rsidRDefault="002659C5">
      <w:pPr>
        <w:pStyle w:val="P68B1DB1-Normal3"/>
        <w:tabs>
          <w:tab w:val="num" w:pos="720"/>
        </w:tabs>
        <w:spacing w:after="0" w:line="216" w:lineRule="auto"/>
        <w:jc w:val="center"/>
      </w:pPr>
      <w:r>
        <w:t>Version du</w:t>
      </w:r>
      <w:r w:rsidR="0031618E">
        <w:t xml:space="preserve"> </w:t>
      </w:r>
      <w:r w:rsidR="00205C84">
        <w:rPr>
          <w:rFonts w:hint="eastAsia"/>
          <w:lang w:eastAsia="zh-CN"/>
        </w:rPr>
        <w:t>23</w:t>
      </w:r>
      <w:r w:rsidR="005430FB">
        <w:t xml:space="preserve"> avril 2024</w:t>
      </w:r>
    </w:p>
    <w:p w14:paraId="0E705C12" w14:textId="77777777" w:rsidR="00CE1364" w:rsidRDefault="00CE1364">
      <w:pPr>
        <w:tabs>
          <w:tab w:val="num" w:pos="720"/>
        </w:tabs>
        <w:spacing w:line="216" w:lineRule="auto"/>
        <w:jc w:val="center"/>
        <w:rPr>
          <w:rFonts w:asciiTheme="majorBidi" w:hAnsiTheme="majorBidi" w:cstheme="majorBidi"/>
          <w:i/>
          <w:sz w:val="24"/>
        </w:rPr>
      </w:pPr>
    </w:p>
    <w:p w14:paraId="4AE43152" w14:textId="2F767377" w:rsidR="00CE1364" w:rsidRDefault="005430FB">
      <w:pPr>
        <w:pStyle w:val="P68B1DB1-Normal4"/>
        <w:spacing w:after="0"/>
      </w:pPr>
      <w:r>
        <w:t>Introduction du module</w:t>
      </w:r>
    </w:p>
    <w:p w14:paraId="220CEC34" w14:textId="77777777" w:rsidR="00CE1364" w:rsidRDefault="00CE1364">
      <w:pPr>
        <w:spacing w:after="0" w:line="240" w:lineRule="auto"/>
        <w:rPr>
          <w:rFonts w:ascii="Times New Roman" w:hAnsi="Times New Roman" w:cs="Times New Roman"/>
          <w:sz w:val="24"/>
        </w:rPr>
      </w:pPr>
    </w:p>
    <w:p w14:paraId="49D86D0A" w14:textId="1A115888" w:rsidR="00CE1364" w:rsidRDefault="005430FB">
      <w:pPr>
        <w:pStyle w:val="ListParagraph"/>
        <w:numPr>
          <w:ilvl w:val="0"/>
          <w:numId w:val="22"/>
        </w:numPr>
        <w:ind w:left="0" w:firstLine="0"/>
      </w:pPr>
      <w:r>
        <w:rPr>
          <w:rFonts w:asciiTheme="majorBidi" w:hAnsiTheme="majorBidi" w:cstheme="majorBidi"/>
        </w:rPr>
        <w:t xml:space="preserve">Ce module distingue trois sources de données en fonction de leur </w:t>
      </w:r>
      <w:r w:rsidR="0031618E">
        <w:rPr>
          <w:rFonts w:asciiTheme="majorBidi" w:hAnsiTheme="majorBidi" w:cstheme="majorBidi"/>
        </w:rPr>
        <w:t xml:space="preserve">objectif </w:t>
      </w:r>
      <w:r>
        <w:rPr>
          <w:rFonts w:asciiTheme="majorBidi" w:hAnsiTheme="majorBidi" w:cstheme="majorBidi"/>
        </w:rPr>
        <w:t xml:space="preserve">et </w:t>
      </w:r>
      <w:r w:rsidR="0031618E">
        <w:rPr>
          <w:rFonts w:asciiTheme="majorBidi" w:hAnsiTheme="majorBidi" w:cstheme="majorBidi"/>
        </w:rPr>
        <w:t xml:space="preserve">de </w:t>
      </w:r>
      <w:r>
        <w:rPr>
          <w:rFonts w:asciiTheme="majorBidi" w:hAnsiTheme="majorBidi" w:cstheme="majorBidi"/>
        </w:rPr>
        <w:t>l’entité responsable de leur compilation</w:t>
      </w:r>
      <w:r w:rsidR="0031618E">
        <w:rPr>
          <w:rFonts w:asciiTheme="majorBidi" w:hAnsiTheme="majorBidi" w:cstheme="majorBidi"/>
        </w:rPr>
        <w:t> :</w:t>
      </w:r>
      <w:r>
        <w:rPr>
          <w:rFonts w:asciiTheme="majorBidi" w:hAnsiTheme="majorBidi" w:cstheme="majorBidi"/>
        </w:rPr>
        <w:t xml:space="preserve"> les sources de données statistiques telles que les enquêtes, les sources de données administratives et d’autres sources de données. En général,</w:t>
      </w:r>
      <w:r w:rsidR="002659C5">
        <w:rPr>
          <w:rFonts w:asciiTheme="majorBidi" w:hAnsiTheme="majorBidi" w:cstheme="majorBidi"/>
        </w:rPr>
        <w:t xml:space="preserve"> les </w:t>
      </w:r>
      <w:r>
        <w:rPr>
          <w:rFonts w:asciiTheme="majorBidi" w:hAnsiTheme="majorBidi" w:cstheme="majorBidi"/>
        </w:rPr>
        <w:t>autres sources de données comprennent les sources de données associées au terme</w:t>
      </w:r>
      <w:r w:rsidR="002319FE">
        <w:rPr>
          <w:rFonts w:asciiTheme="majorBidi" w:hAnsiTheme="majorBidi" w:cstheme="majorBidi"/>
        </w:rPr>
        <w:t xml:space="preserve"> « big</w:t>
      </w:r>
      <w:r>
        <w:rPr>
          <w:rFonts w:asciiTheme="majorBidi" w:hAnsiTheme="majorBidi" w:cstheme="majorBidi"/>
        </w:rPr>
        <w:t xml:space="preserve"> data», </w:t>
      </w:r>
      <w:r w:rsidR="0031618E">
        <w:rPr>
          <w:rFonts w:asciiTheme="majorBidi" w:hAnsiTheme="majorBidi" w:cstheme="majorBidi"/>
        </w:rPr>
        <w:t>à moins qu’elles ne soient</w:t>
      </w:r>
      <w:r>
        <w:rPr>
          <w:rFonts w:asciiTheme="majorBidi" w:hAnsiTheme="majorBidi" w:cstheme="majorBidi"/>
        </w:rPr>
        <w:t xml:space="preserve"> déjà incluses, dans certains cas, dans des sources de données statistiques ou administratives. </w:t>
      </w:r>
      <w:r w:rsidR="002659C5">
        <w:rPr>
          <w:rFonts w:asciiTheme="majorBidi" w:hAnsiTheme="majorBidi" w:cstheme="majorBidi"/>
        </w:rPr>
        <w:t xml:space="preserve">Les </w:t>
      </w:r>
      <w:r>
        <w:rPr>
          <w:rFonts w:asciiTheme="majorBidi" w:hAnsiTheme="majorBidi" w:cstheme="majorBidi"/>
        </w:rPr>
        <w:t>nouvelles sources de données peuvent souvent être associées à d’autres sources de données</w:t>
      </w:r>
      <w:r w:rsidR="002319FE">
        <w:rPr>
          <w:rFonts w:asciiTheme="majorBidi" w:hAnsiTheme="majorBidi" w:cstheme="majorBidi"/>
        </w:rPr>
        <w:t>.</w:t>
      </w:r>
      <w:r>
        <w:rPr>
          <w:rFonts w:asciiTheme="majorBidi" w:hAnsiTheme="majorBidi" w:cstheme="majorBidi"/>
        </w:rPr>
        <w:t xml:space="preserve"> </w:t>
      </w:r>
      <w:r w:rsidR="002319FE">
        <w:rPr>
          <w:rFonts w:asciiTheme="majorBidi" w:hAnsiTheme="majorBidi" w:cstheme="majorBidi"/>
        </w:rPr>
        <w:t>T</w:t>
      </w:r>
      <w:r>
        <w:rPr>
          <w:rFonts w:asciiTheme="majorBidi" w:hAnsiTheme="majorBidi" w:cstheme="majorBidi"/>
        </w:rPr>
        <w:t xml:space="preserve">outefois, </w:t>
      </w:r>
      <w:r w:rsidR="00895AF5" w:rsidRPr="0015615C">
        <w:rPr>
          <w:rFonts w:asciiTheme="majorBidi" w:hAnsiTheme="majorBidi" w:cstheme="majorBidi"/>
        </w:rPr>
        <w:t>elles</w:t>
      </w:r>
      <w:r>
        <w:rPr>
          <w:rFonts w:asciiTheme="majorBidi" w:hAnsiTheme="majorBidi" w:cstheme="majorBidi"/>
        </w:rPr>
        <w:t xml:space="preserve"> peuvent également être considéré</w:t>
      </w:r>
      <w:r w:rsidR="002659C5">
        <w:rPr>
          <w:rFonts w:asciiTheme="majorBidi" w:hAnsiTheme="majorBidi" w:cstheme="majorBidi"/>
        </w:rPr>
        <w:t>e</w:t>
      </w:r>
      <w:r>
        <w:rPr>
          <w:rFonts w:asciiTheme="majorBidi" w:hAnsiTheme="majorBidi" w:cstheme="majorBidi"/>
        </w:rPr>
        <w:t>s comme faisant partie de sources de données statistiques ou administratives en fonction des circonstances nationales.</w:t>
      </w:r>
      <w:r>
        <w:rPr>
          <w:rStyle w:val="FootnoteReference"/>
          <w:rFonts w:asciiTheme="majorBidi" w:hAnsiTheme="majorBidi" w:cstheme="majorBidi"/>
        </w:rPr>
        <w:footnoteReference w:id="3"/>
      </w:r>
      <w:r>
        <w:rPr>
          <w:rFonts w:asciiTheme="majorBidi" w:hAnsiTheme="majorBidi" w:cstheme="majorBidi"/>
        </w:rPr>
        <w:t xml:space="preserve"> </w:t>
      </w:r>
    </w:p>
    <w:p w14:paraId="31A585AC" w14:textId="77777777" w:rsidR="00CE1364" w:rsidRDefault="00CE1364">
      <w:pPr>
        <w:pStyle w:val="ListParagraph"/>
        <w:ind w:left="0"/>
      </w:pPr>
    </w:p>
    <w:p w14:paraId="32E50F51" w14:textId="4290F830" w:rsidR="00CE1364" w:rsidRDefault="005430FB" w:rsidP="00433F71">
      <w:pPr>
        <w:pStyle w:val="ListParagraph"/>
        <w:numPr>
          <w:ilvl w:val="0"/>
          <w:numId w:val="22"/>
        </w:numPr>
        <w:ind w:left="0" w:firstLine="0"/>
      </w:pPr>
      <w:r>
        <w:t xml:space="preserve">L’utilisation de </w:t>
      </w:r>
      <w:r>
        <w:rPr>
          <w:b/>
        </w:rPr>
        <w:t>sources de données administratives</w:t>
      </w:r>
      <w:r>
        <w:t xml:space="preserve"> offre de nombreux avantages potentiels aux organismes statistiques, tels que le rapport coût-efficacité, la réduction du fardeau des répondants, l’amélioration</w:t>
      </w:r>
      <w:r w:rsidR="00433F71">
        <w:t xml:space="preserve"> </w:t>
      </w:r>
      <w:r w:rsidR="00433F71" w:rsidRPr="0015615C">
        <w:t>des délais</w:t>
      </w:r>
      <w:r w:rsidR="002319FE">
        <w:t xml:space="preserve">, </w:t>
      </w:r>
      <w:r>
        <w:t xml:space="preserve"> </w:t>
      </w:r>
      <w:r w:rsidR="00C16C8A">
        <w:t>de l’actualité</w:t>
      </w:r>
      <w:r w:rsidR="002319FE">
        <w:t>,</w:t>
      </w:r>
      <w:r w:rsidR="00C16C8A">
        <w:t xml:space="preserve"> </w:t>
      </w:r>
      <w:r>
        <w:t>de la pertinence, de l’exactitude et de la fiabilité</w:t>
      </w:r>
      <w:r w:rsidR="002319FE">
        <w:t>,</w:t>
      </w:r>
      <w:r>
        <w:t xml:space="preserve"> en raison de leur capacité à obtenir des données fortement désagrégées. L’utilisation d</w:t>
      </w:r>
      <w:r w:rsidR="002659C5">
        <w:t>es</w:t>
      </w:r>
      <w:r>
        <w:t xml:space="preserve"> </w:t>
      </w:r>
      <w:r>
        <w:rPr>
          <w:b/>
        </w:rPr>
        <w:t>autres sources de données</w:t>
      </w:r>
      <w:r>
        <w:t xml:space="preserve">, telles que celles disponibles dans le secteur privé, peut être rentable, en plus de permettre </w:t>
      </w:r>
      <w:r w:rsidR="002659C5">
        <w:t xml:space="preserve">la production </w:t>
      </w:r>
      <w:r>
        <w:t xml:space="preserve">des rapports beaucoup plus fréquents et </w:t>
      </w:r>
      <w:r w:rsidR="003529AA">
        <w:t xml:space="preserve">opportuns </w:t>
      </w:r>
      <w:r>
        <w:t xml:space="preserve">et d’illustrer des phénomènes difficiles ou impossibles à saisir avec les sources de données statistiques et administratives traditionnelles. Cela pourrait conduire à une </w:t>
      </w:r>
      <w:r w:rsidR="003529AA">
        <w:t xml:space="preserve">meilleure </w:t>
      </w:r>
      <w:r>
        <w:t>pertinence.</w:t>
      </w:r>
    </w:p>
    <w:p w14:paraId="2D890173" w14:textId="77777777" w:rsidR="00CE1364" w:rsidRDefault="00CE1364">
      <w:pPr>
        <w:pStyle w:val="ListParagraph"/>
        <w:ind w:left="0"/>
      </w:pPr>
    </w:p>
    <w:p w14:paraId="2DDCEDD8" w14:textId="61E7C4BF" w:rsidR="00CE1364" w:rsidRDefault="005430FB">
      <w:pPr>
        <w:pStyle w:val="ListParagraph"/>
        <w:numPr>
          <w:ilvl w:val="0"/>
          <w:numId w:val="22"/>
        </w:numPr>
        <w:ind w:left="0" w:firstLine="0"/>
      </w:pPr>
      <w:r>
        <w:t>Ce module complète les cadres nationaux d’assurance de la qualité (CNA</w:t>
      </w:r>
      <w:r w:rsidR="003529AA">
        <w:t>Q</w:t>
      </w:r>
      <w:r>
        <w:t xml:space="preserve">) </w:t>
      </w:r>
      <w:r w:rsidR="003529AA">
        <w:t xml:space="preserve">génériques </w:t>
      </w:r>
      <w:r>
        <w:t xml:space="preserve">existants et fournit des </w:t>
      </w:r>
      <w:r w:rsidR="003529AA">
        <w:t xml:space="preserve">recommandations </w:t>
      </w:r>
      <w:r>
        <w:t>plus précises et détaillées lors de l’utilisation de</w:t>
      </w:r>
      <w:r w:rsidR="002659C5">
        <w:t>s</w:t>
      </w:r>
      <w:r>
        <w:t xml:space="preserve"> données administratives et d’autres sources de données pour produire </w:t>
      </w:r>
      <w:r w:rsidR="002659C5">
        <w:t xml:space="preserve">les </w:t>
      </w:r>
      <w:r>
        <w:t xml:space="preserve">statistiques officielles. </w:t>
      </w:r>
      <w:r>
        <w:rPr>
          <w:rFonts w:asciiTheme="majorBidi" w:hAnsiTheme="majorBidi" w:cstheme="majorBidi"/>
        </w:rPr>
        <w:t>Ce module ne peut être utilisé comme cadre d’assurance de la qualité pour les données administratives et autres</w:t>
      </w:r>
      <w:r w:rsidR="002659C5" w:rsidRPr="002659C5">
        <w:rPr>
          <w:rFonts w:asciiTheme="majorBidi" w:hAnsiTheme="majorBidi" w:cstheme="majorBidi"/>
        </w:rPr>
        <w:t xml:space="preserve"> </w:t>
      </w:r>
      <w:r w:rsidR="002659C5">
        <w:rPr>
          <w:rFonts w:asciiTheme="majorBidi" w:hAnsiTheme="majorBidi" w:cstheme="majorBidi"/>
        </w:rPr>
        <w:t>sources de données</w:t>
      </w:r>
      <w:r>
        <w:rPr>
          <w:rFonts w:asciiTheme="majorBidi" w:hAnsiTheme="majorBidi" w:cstheme="majorBidi"/>
        </w:rPr>
        <w:t>. Il est destiné à être utilisé en conjonction avec un CN</w:t>
      </w:r>
      <w:r w:rsidR="003529AA">
        <w:rPr>
          <w:rFonts w:asciiTheme="majorBidi" w:hAnsiTheme="majorBidi" w:cstheme="majorBidi"/>
        </w:rPr>
        <w:t>AQ</w:t>
      </w:r>
      <w:r>
        <w:rPr>
          <w:rFonts w:asciiTheme="majorBidi" w:hAnsiTheme="majorBidi" w:cstheme="majorBidi"/>
        </w:rPr>
        <w:t xml:space="preserve"> existant, </w:t>
      </w:r>
      <w:r w:rsidR="002659C5">
        <w:rPr>
          <w:rFonts w:asciiTheme="majorBidi" w:hAnsiTheme="majorBidi" w:cstheme="majorBidi"/>
        </w:rPr>
        <w:t>puisqu’il n’intègre pas</w:t>
      </w:r>
      <w:r>
        <w:rPr>
          <w:rFonts w:asciiTheme="majorBidi" w:hAnsiTheme="majorBidi" w:cstheme="majorBidi"/>
        </w:rPr>
        <w:t>, par exemple, des aspects clés d’un CN</w:t>
      </w:r>
      <w:r w:rsidR="003529AA">
        <w:rPr>
          <w:rFonts w:asciiTheme="majorBidi" w:hAnsiTheme="majorBidi" w:cstheme="majorBidi"/>
        </w:rPr>
        <w:t>AQ</w:t>
      </w:r>
      <w:r>
        <w:rPr>
          <w:rFonts w:asciiTheme="majorBidi" w:hAnsiTheme="majorBidi" w:cstheme="majorBidi"/>
        </w:rPr>
        <w:t xml:space="preserve"> tels que la coordination et l’environnement institutionnel.</w:t>
      </w:r>
      <w:r>
        <w:rPr>
          <w:rStyle w:val="FootnoteReference"/>
        </w:rPr>
        <w:footnoteReference w:id="4"/>
      </w:r>
      <w:r>
        <w:t xml:space="preserve"> </w:t>
      </w:r>
    </w:p>
    <w:p w14:paraId="0F9D54C2" w14:textId="77777777" w:rsidR="00CE1364" w:rsidRDefault="00CE1364">
      <w:pPr>
        <w:pStyle w:val="ListParagraph"/>
      </w:pPr>
    </w:p>
    <w:p w14:paraId="0CE85BA9" w14:textId="664FBF5C" w:rsidR="00CE1364" w:rsidRDefault="002659C5">
      <w:pPr>
        <w:pStyle w:val="ListParagraph"/>
        <w:numPr>
          <w:ilvl w:val="0"/>
          <w:numId w:val="22"/>
        </w:numPr>
        <w:ind w:left="0" w:firstLine="0"/>
      </w:pPr>
      <w:r>
        <w:t xml:space="preserve">Ce </w:t>
      </w:r>
      <w:r w:rsidR="005430FB">
        <w:t>module s’adresse aux organismes statistiques</w:t>
      </w:r>
      <w:r w:rsidR="005430FB">
        <w:rPr>
          <w:rStyle w:val="FootnoteReference"/>
        </w:rPr>
        <w:footnoteReference w:id="5"/>
      </w:r>
      <w:r w:rsidR="005430FB">
        <w:t xml:space="preserve"> qui utilisent ou souhaitent utiliser </w:t>
      </w:r>
      <w:r>
        <w:t xml:space="preserve">les </w:t>
      </w:r>
      <w:r w:rsidR="005430FB">
        <w:t>données administratives et autres</w:t>
      </w:r>
      <w:r w:rsidR="00122569">
        <w:t xml:space="preserve"> sources de données</w:t>
      </w:r>
      <w:r w:rsidR="005430FB">
        <w:t xml:space="preserve"> pour produire </w:t>
      </w:r>
      <w:r>
        <w:t xml:space="preserve">les </w:t>
      </w:r>
      <w:r w:rsidR="005430FB">
        <w:t xml:space="preserve">statistiques officielles. Il repose sur un examen des pratiques </w:t>
      </w:r>
      <w:r w:rsidR="00122569">
        <w:t xml:space="preserve">nationales </w:t>
      </w:r>
      <w:r w:rsidR="005430FB">
        <w:t xml:space="preserve">respectives, </w:t>
      </w:r>
      <w:r w:rsidR="00122569">
        <w:t>des</w:t>
      </w:r>
      <w:r w:rsidR="005430FB">
        <w:t xml:space="preserve"> lignes directrices, </w:t>
      </w:r>
      <w:r w:rsidR="00122569">
        <w:t xml:space="preserve">des </w:t>
      </w:r>
      <w:r w:rsidR="005430FB">
        <w:t xml:space="preserve">cadres et </w:t>
      </w:r>
      <w:r w:rsidR="001A5F74">
        <w:lastRenderedPageBreak/>
        <w:t>des</w:t>
      </w:r>
      <w:r w:rsidR="005430FB">
        <w:t xml:space="preserve"> outils disponibles</w:t>
      </w:r>
      <w:r w:rsidR="005430FB">
        <w:rPr>
          <w:rStyle w:val="FootnoteReference"/>
        </w:rPr>
        <w:footnoteReference w:id="6"/>
      </w:r>
      <w:r w:rsidR="005430FB">
        <w:t xml:space="preserve"> et sur la </w:t>
      </w:r>
      <w:r w:rsidR="00122569">
        <w:t xml:space="preserve">mise en cohérences </w:t>
      </w:r>
      <w:r w:rsidR="005430FB">
        <w:t xml:space="preserve">de leurs éléments </w:t>
      </w:r>
      <w:r w:rsidR="00122569">
        <w:t xml:space="preserve">avec </w:t>
      </w:r>
      <w:r w:rsidR="005430FB">
        <w:t>le Cadre national d’assurance de la qualité pour les statistiques officielles des Nations Unies</w:t>
      </w:r>
      <w:r w:rsidR="00122569">
        <w:t xml:space="preserve"> (CNAQ des Nations Unies)</w:t>
      </w:r>
      <w:r w:rsidR="005430FB">
        <w:t>. Le module se compose de deux parties</w:t>
      </w:r>
      <w:r>
        <w:t xml:space="preserve"> à savoir :</w:t>
      </w:r>
      <w:r w:rsidR="005430FB">
        <w:t xml:space="preserve"> une approche conceptuelle et une liste de contrôle de dix exigences </w:t>
      </w:r>
      <w:r w:rsidR="00122569">
        <w:t>essentielles</w:t>
      </w:r>
      <w:r w:rsidR="005430FB">
        <w:t xml:space="preserve">. Il comprend également plusieurs annexes contenant des informations complémentaires. </w:t>
      </w:r>
    </w:p>
    <w:p w14:paraId="49111A5E" w14:textId="77777777" w:rsidR="00CE1364" w:rsidRDefault="00CE1364">
      <w:pPr>
        <w:pStyle w:val="ListParagraph"/>
      </w:pPr>
    </w:p>
    <w:p w14:paraId="471B32C2" w14:textId="2C023889" w:rsidR="00CE1364" w:rsidRDefault="005430FB">
      <w:pPr>
        <w:pStyle w:val="ListParagraph"/>
        <w:numPr>
          <w:ilvl w:val="0"/>
          <w:numId w:val="22"/>
        </w:numPr>
        <w:ind w:left="0" w:firstLine="0"/>
      </w:pPr>
      <w:r>
        <w:t xml:space="preserve">L’approche conceptuelle de </w:t>
      </w:r>
      <w:r>
        <w:rPr>
          <w:b/>
        </w:rPr>
        <w:t xml:space="preserve">la partie 1 </w:t>
      </w:r>
      <w:r>
        <w:t xml:space="preserve">fournit une structure globale des considérations de qualité typiques lors de l’utilisation </w:t>
      </w:r>
      <w:r w:rsidR="002659C5">
        <w:t>des</w:t>
      </w:r>
      <w:r>
        <w:t xml:space="preserve"> données administratives et autres</w:t>
      </w:r>
      <w:r w:rsidR="00F45E82">
        <w:t xml:space="preserve"> sources de données</w:t>
      </w:r>
      <w:r>
        <w:t xml:space="preserve">. </w:t>
      </w:r>
      <w:r w:rsidR="00F45E82">
        <w:t>Elle</w:t>
      </w:r>
      <w:r>
        <w:t xml:space="preserve"> </w:t>
      </w:r>
      <w:r w:rsidR="002659C5">
        <w:t>porte sur les</w:t>
      </w:r>
      <w:r>
        <w:t xml:space="preserve"> conditions préalables,</w:t>
      </w:r>
      <w:r w:rsidR="0072732E">
        <w:t xml:space="preserve"> ainsi que les </w:t>
      </w:r>
      <w:r>
        <w:t xml:space="preserve">actions et </w:t>
      </w:r>
      <w:r w:rsidR="0072732E">
        <w:t>les</w:t>
      </w:r>
      <w:r>
        <w:t xml:space="preserve"> considérations générales relatives à la qualité. Ces </w:t>
      </w:r>
      <w:r w:rsidR="00F45E82">
        <w:t xml:space="preserve">actions </w:t>
      </w:r>
      <w:r>
        <w:t>et considérations générales sont parfois qualifiées d’«hyper</w:t>
      </w:r>
      <w:r w:rsidR="00F45E82">
        <w:t>-</w:t>
      </w:r>
      <w:r>
        <w:t xml:space="preserve">dimensions» dans diverses pratiques nationales et lignes directrices disponibles qui ont servi de </w:t>
      </w:r>
      <w:r w:rsidR="00F45E82">
        <w:t xml:space="preserve">base </w:t>
      </w:r>
      <w:r>
        <w:t>à ce module. La</w:t>
      </w:r>
      <w:r w:rsidR="00684DF5">
        <w:t xml:space="preserve"> </w:t>
      </w:r>
      <w:r>
        <w:rPr>
          <w:b/>
        </w:rPr>
        <w:t>partie 2</w:t>
      </w:r>
      <w:r>
        <w:t xml:space="preserve"> fournit une liste de contrôle de dix exigences essentielles pour </w:t>
      </w:r>
      <w:r w:rsidR="00F45E82">
        <w:t xml:space="preserve">garantir </w:t>
      </w:r>
      <w:r>
        <w:t xml:space="preserve">la qualité ainsi qu’un ensemble de pratiques suggérées («meilleures») qui fournissent des orientations plus précises et plus détaillées lors de l’utilisation </w:t>
      </w:r>
      <w:r w:rsidR="002659C5">
        <w:t>des</w:t>
      </w:r>
      <w:r>
        <w:t xml:space="preserve"> données administratives et autres </w:t>
      </w:r>
      <w:r w:rsidR="00F45E82">
        <w:t xml:space="preserve">sources de données </w:t>
      </w:r>
      <w:r>
        <w:t>que celles contenues dans un CN</w:t>
      </w:r>
      <w:r w:rsidR="00F45E82">
        <w:t>AQ</w:t>
      </w:r>
      <w:r>
        <w:t xml:space="preserve"> générique. Bon nombre de ces exigences essentielles se chevauchent avec des parties du CN</w:t>
      </w:r>
      <w:r w:rsidR="00F45E82">
        <w:t>A</w:t>
      </w:r>
      <w:r w:rsidR="00CE23F1">
        <w:t>Q</w:t>
      </w:r>
      <w:r>
        <w:t xml:space="preserve"> de</w:t>
      </w:r>
      <w:r w:rsidR="00F45E82">
        <w:t xml:space="preserve">s Nations Unies </w:t>
      </w:r>
      <w:r>
        <w:t xml:space="preserve">et d’autres </w:t>
      </w:r>
      <w:r w:rsidR="00F45E82">
        <w:t>CNAQ</w:t>
      </w:r>
      <w:r>
        <w:t>. Les pratiques suggérées dans ce module sont ambitieuses</w:t>
      </w:r>
      <w:r w:rsidR="002659C5">
        <w:t>. Elles</w:t>
      </w:r>
      <w:r>
        <w:t xml:space="preserve"> peuvent ne pas s’appliquer en toutes circonstances et peuvent être difficiles ou pas toujours possibles à suivre pour les organismes de statistique en fonction de </w:t>
      </w:r>
      <w:r w:rsidR="00F45E82">
        <w:t>leur</w:t>
      </w:r>
      <w:r>
        <w:t xml:space="preserve"> </w:t>
      </w:r>
      <w:r w:rsidR="002F0C93">
        <w:t>contexte</w:t>
      </w:r>
      <w:r>
        <w:t>.</w:t>
      </w:r>
      <w:r>
        <w:rPr>
          <w:rStyle w:val="FootnoteReference"/>
        </w:rPr>
        <w:footnoteReference w:id="7"/>
      </w:r>
      <w:r>
        <w:t xml:space="preserve"> </w:t>
      </w:r>
      <w:r w:rsidR="00F45E82">
        <w:t>Toutefois</w:t>
      </w:r>
      <w:r>
        <w:t xml:space="preserve">, </w:t>
      </w:r>
      <w:r w:rsidR="00F45E82">
        <w:t>lorsqu’elles sont applicables</w:t>
      </w:r>
      <w:r>
        <w:t xml:space="preserve">, </w:t>
      </w:r>
      <w:r w:rsidR="00F45E82">
        <w:t xml:space="preserve">elles </w:t>
      </w:r>
      <w:r>
        <w:t>permettent d’identifier les domaines d’amélioration dans l’esprit du cycle «</w:t>
      </w:r>
      <w:r w:rsidR="00CE23F1">
        <w:t>Planifier</w:t>
      </w:r>
      <w:r>
        <w:t>-</w:t>
      </w:r>
      <w:r w:rsidR="00CE23F1">
        <w:t>Faire</w:t>
      </w:r>
      <w:r>
        <w:t>-</w:t>
      </w:r>
      <w:r w:rsidR="00CE23F1">
        <w:t>Vérifier</w:t>
      </w:r>
      <w:r>
        <w:t>-</w:t>
      </w:r>
      <w:r w:rsidR="00CE23F1">
        <w:t>Agir</w:t>
      </w:r>
      <w:r>
        <w:t>» pour l’amélioration continue rendu populaire par W. Edwards Deming.</w:t>
      </w:r>
    </w:p>
    <w:p w14:paraId="5FD5AEF5" w14:textId="77777777" w:rsidR="00CE1364" w:rsidRDefault="00CE1364">
      <w:pPr>
        <w:pStyle w:val="ListParagraph"/>
      </w:pPr>
    </w:p>
    <w:p w14:paraId="18C1342D" w14:textId="5E68BCFC" w:rsidR="00CE1364" w:rsidRDefault="005430FB">
      <w:pPr>
        <w:pStyle w:val="ListParagraph"/>
        <w:numPr>
          <w:ilvl w:val="0"/>
          <w:numId w:val="22"/>
        </w:numPr>
        <w:ind w:left="0" w:firstLine="0"/>
      </w:pPr>
      <w:r>
        <w:rPr>
          <w:b/>
        </w:rPr>
        <w:t>L’annexe 1</w:t>
      </w:r>
      <w:r>
        <w:t xml:space="preserve"> fournit un sous-module pour la validation des données </w:t>
      </w:r>
      <w:r w:rsidR="002F0C93">
        <w:t xml:space="preserve">sources </w:t>
      </w:r>
      <w:r>
        <w:t xml:space="preserve">et une liste d’indicateurs de qualité supplémentaires. </w:t>
      </w:r>
      <w:r>
        <w:rPr>
          <w:b/>
        </w:rPr>
        <w:t>L’annexe 2</w:t>
      </w:r>
      <w:r>
        <w:t xml:space="preserve"> fournit un glossaire des termes utilisés dans le présent document. </w:t>
      </w:r>
      <w:r>
        <w:rPr>
          <w:b/>
        </w:rPr>
        <w:t>L’annexe 3</w:t>
      </w:r>
      <w:r>
        <w:t xml:space="preserve"> contient une liste des exigences du CN</w:t>
      </w:r>
      <w:r w:rsidR="00CE23F1">
        <w:t>A</w:t>
      </w:r>
      <w:r>
        <w:t>Q de</w:t>
      </w:r>
      <w:r w:rsidR="00CE23F1">
        <w:t>s Nations Unies</w:t>
      </w:r>
      <w:r>
        <w:t xml:space="preserve"> qui sont pertinentes pour garantir la qualité des statistiques officielles lors de l’utilisation données administratives et autres</w:t>
      </w:r>
      <w:r w:rsidR="00CE23F1">
        <w:t xml:space="preserve"> sources de données</w:t>
      </w:r>
      <w:r>
        <w:t xml:space="preserve">. </w:t>
      </w:r>
      <w:r>
        <w:rPr>
          <w:b/>
        </w:rPr>
        <w:t>L’annexe 4</w:t>
      </w:r>
      <w:r>
        <w:t xml:space="preserve"> présente une cartographie des dix exigences </w:t>
      </w:r>
      <w:r w:rsidR="00CE23F1">
        <w:t xml:space="preserve">essentielles </w:t>
      </w:r>
      <w:r>
        <w:t xml:space="preserve">avec les </w:t>
      </w:r>
      <w:r w:rsidR="00CE23F1">
        <w:t xml:space="preserve">exigences </w:t>
      </w:r>
      <w:r>
        <w:t>pertinentes du CN</w:t>
      </w:r>
      <w:r w:rsidR="00CE23F1">
        <w:t>A</w:t>
      </w:r>
      <w:r>
        <w:t>Q de</w:t>
      </w:r>
      <w:r w:rsidR="00CE23F1">
        <w:t>s Nations Unies</w:t>
      </w:r>
      <w:r>
        <w:t xml:space="preserve"> énumérées à l’annexe 3.</w:t>
      </w:r>
    </w:p>
    <w:p w14:paraId="0E8B8395" w14:textId="77777777" w:rsidR="00CE1364" w:rsidRDefault="00CE1364">
      <w:pPr>
        <w:pStyle w:val="ListParagraph"/>
      </w:pPr>
    </w:p>
    <w:p w14:paraId="01BCE5AC" w14:textId="25066941" w:rsidR="00CE1364" w:rsidRDefault="005430FB">
      <w:pPr>
        <w:pStyle w:val="ListParagraph"/>
        <w:numPr>
          <w:ilvl w:val="0"/>
          <w:numId w:val="22"/>
        </w:numPr>
        <w:ind w:left="0" w:firstLine="0"/>
      </w:pPr>
      <w:r>
        <w:t xml:space="preserve">Le </w:t>
      </w:r>
      <w:r w:rsidR="002F0C93">
        <w:t xml:space="preserve">présent </w:t>
      </w:r>
      <w:r>
        <w:t xml:space="preserve">module synthétise les pratiques </w:t>
      </w:r>
      <w:r w:rsidR="00CE23F1">
        <w:t xml:space="preserve">nationales </w:t>
      </w:r>
      <w:r>
        <w:t>existantes, les lignes directrices, les cadres et les outils disponibles pour assurer la qualité des statistiques lors de l’utilisation de données administratives et autres</w:t>
      </w:r>
      <w:r w:rsidR="00CE23F1">
        <w:t xml:space="preserve"> sources de données</w:t>
      </w:r>
      <w:r>
        <w:t xml:space="preserve">. Il </w:t>
      </w:r>
      <w:r w:rsidR="00CE23F1">
        <w:t xml:space="preserve">se veut </w:t>
      </w:r>
      <w:r>
        <w:t xml:space="preserve">pratique et concis. Les pays qui ont déjà des pratiques bien établies en matière d’assurance qualité </w:t>
      </w:r>
      <w:r w:rsidR="00890243">
        <w:t xml:space="preserve">lors de l’utilisation </w:t>
      </w:r>
      <w:r>
        <w:t>de</w:t>
      </w:r>
      <w:r w:rsidR="002F0C93">
        <w:t>s</w:t>
      </w:r>
      <w:r>
        <w:t xml:space="preserve"> données administratives et autres</w:t>
      </w:r>
      <w:r w:rsidR="00890243">
        <w:t xml:space="preserve"> sources de données</w:t>
      </w:r>
      <w:r>
        <w:t xml:space="preserve"> peuvent considérer ce module comme un point de référence supplémentaire qui soutient ce qu’ils font déjà. Le module a été élaboré en référence au CN</w:t>
      </w:r>
      <w:r w:rsidR="00890243">
        <w:t>A</w:t>
      </w:r>
      <w:r>
        <w:t>Q de</w:t>
      </w:r>
      <w:r w:rsidR="00890243">
        <w:t>s Nations Unies</w:t>
      </w:r>
      <w:r>
        <w:t>, mais il est censé être applicable indépendamment d</w:t>
      </w:r>
      <w:r w:rsidR="00890243">
        <w:t xml:space="preserve">u CNAQ </w:t>
      </w:r>
      <w:r>
        <w:t>ou</w:t>
      </w:r>
      <w:r w:rsidR="00890243">
        <w:t xml:space="preserve"> du</w:t>
      </w:r>
      <w:r>
        <w:t xml:space="preserve"> code </w:t>
      </w:r>
      <w:r w:rsidR="00890243">
        <w:t xml:space="preserve">de bonne </w:t>
      </w:r>
      <w:r>
        <w:t xml:space="preserve">pratique </w:t>
      </w:r>
      <w:r w:rsidR="00890243">
        <w:t xml:space="preserve">pour </w:t>
      </w:r>
      <w:r>
        <w:t>l’assurance qualité suivi par un organisme statistique.</w:t>
      </w:r>
    </w:p>
    <w:p w14:paraId="2A854640" w14:textId="77777777" w:rsidR="00CE1364" w:rsidRDefault="00CE1364">
      <w:pPr>
        <w:pStyle w:val="ListParagraph"/>
      </w:pPr>
    </w:p>
    <w:p w14:paraId="76771D40" w14:textId="4AAEB67F" w:rsidR="00CE1364" w:rsidRDefault="005430FB">
      <w:pPr>
        <w:pStyle w:val="ListParagraph"/>
        <w:numPr>
          <w:ilvl w:val="0"/>
          <w:numId w:val="22"/>
        </w:numPr>
        <w:ind w:left="0" w:firstLine="0"/>
      </w:pPr>
      <w:r>
        <w:lastRenderedPageBreak/>
        <w:t xml:space="preserve">Ce module a été </w:t>
      </w:r>
      <w:r w:rsidR="00890243">
        <w:t xml:space="preserve">élaboré </w:t>
      </w:r>
      <w:r>
        <w:t xml:space="preserve">par le sous-groupe sur les données administratives et autres </w:t>
      </w:r>
      <w:r w:rsidR="00890243">
        <w:t xml:space="preserve">sources de données </w:t>
      </w:r>
      <w:r>
        <w:t>(ci-après dénommé «sous-groupe»). Ce sous-groupe a été créé par le Groupe d</w:t>
      </w:r>
      <w:r w:rsidR="002F0C93">
        <w:t xml:space="preserve">es </w:t>
      </w:r>
      <w:r>
        <w:t>experts des Nations Unies sur les cadres nationaux d’assurance de la qualité (</w:t>
      </w:r>
      <w:r w:rsidR="002F0C93">
        <w:t>GE-CNAQ</w:t>
      </w:r>
      <w:r>
        <w:t xml:space="preserve">) afin de fournir des orientations pratiques et concises </w:t>
      </w:r>
      <w:r w:rsidR="00890243">
        <w:t xml:space="preserve">ainsi que </w:t>
      </w:r>
      <w:r>
        <w:t>des</w:t>
      </w:r>
      <w:r w:rsidR="00890243">
        <w:t xml:space="preserve"> bonnes</w:t>
      </w:r>
      <w:r>
        <w:t xml:space="preserve"> pratiques aux organismes statistique</w:t>
      </w:r>
      <w:r w:rsidR="00890243">
        <w:t>s</w:t>
      </w:r>
      <w:r>
        <w:t xml:space="preserve"> pour assurer la qualité des statistiques officielles lorsque </w:t>
      </w:r>
      <w:r w:rsidR="002F0C93">
        <w:t xml:space="preserve">les </w:t>
      </w:r>
      <w:r>
        <w:t>données administratives et autres sources de données sont utilisées pour la production de statistiques officielles.</w:t>
      </w:r>
      <w:r>
        <w:rPr>
          <w:rStyle w:val="FootnoteReference"/>
        </w:rPr>
        <w:footnoteReference w:id="8"/>
      </w:r>
      <w:r>
        <w:t xml:space="preserve"> Le Groupe d</w:t>
      </w:r>
      <w:r w:rsidR="002F0C93">
        <w:t xml:space="preserve">es </w:t>
      </w:r>
      <w:r>
        <w:t xml:space="preserve">experts et son </w:t>
      </w:r>
      <w:r w:rsidR="00B46EBE">
        <w:t>S</w:t>
      </w:r>
      <w:r>
        <w:t>ous-</w:t>
      </w:r>
      <w:r w:rsidR="00B46EBE">
        <w:t>G</w:t>
      </w:r>
      <w:r>
        <w:t xml:space="preserve">roupe sont composés d’experts </w:t>
      </w:r>
      <w:r w:rsidR="00890243">
        <w:t xml:space="preserve">en </w:t>
      </w:r>
      <w:r>
        <w:t xml:space="preserve">assurance qualité des États Membres et des organisations internationales et régionales. Le Sous-Groupe a commencé ses travaux en examinant les pratiques et lignes directrices </w:t>
      </w:r>
      <w:r w:rsidR="000E2090">
        <w:t xml:space="preserve">nationales </w:t>
      </w:r>
      <w:r>
        <w:t xml:space="preserve">existantes afin d’identifier les principes de qualité, les exigences, les éléments à </w:t>
      </w:r>
      <w:r w:rsidR="000E2090">
        <w:t xml:space="preserve">garantir </w:t>
      </w:r>
      <w:r>
        <w:t xml:space="preserve">et les indicateurs qui sont </w:t>
      </w:r>
      <w:r w:rsidR="000E2090">
        <w:t xml:space="preserve">essentiels </w:t>
      </w:r>
      <w:r>
        <w:t>ou d’une importance particulière lors de l’utilisation de</w:t>
      </w:r>
      <w:r w:rsidR="002F0C93">
        <w:t>s</w:t>
      </w:r>
      <w:r>
        <w:t xml:space="preserve"> données administratives et autres</w:t>
      </w:r>
      <w:r w:rsidR="000E2090">
        <w:t xml:space="preserve"> sources de données</w:t>
      </w:r>
      <w:r>
        <w:t xml:space="preserve">. </w:t>
      </w:r>
      <w:r w:rsidR="000E2090">
        <w:t>Ces éléments</w:t>
      </w:r>
      <w:r>
        <w:t xml:space="preserve"> ont ensuite été mis en correspondance avec les principes et exigences du CN</w:t>
      </w:r>
      <w:r w:rsidR="000E2090">
        <w:t>AQ des Nations Unies</w:t>
      </w:r>
      <w:r>
        <w:t xml:space="preserve"> et synthétisés en un ensemble de dix exigences </w:t>
      </w:r>
      <w:r w:rsidR="000E2090">
        <w:t xml:space="preserve">essentielles </w:t>
      </w:r>
      <w:r>
        <w:t>et un ensemble de pratiques suggérées pour chaque exigence.</w:t>
      </w:r>
    </w:p>
    <w:p w14:paraId="52AA0879" w14:textId="77777777" w:rsidR="00CE1364" w:rsidRDefault="00CE1364">
      <w:pPr>
        <w:pStyle w:val="ListParagraph"/>
      </w:pPr>
    </w:p>
    <w:p w14:paraId="118788AF" w14:textId="2B9C0B24" w:rsidR="00CE1364" w:rsidRDefault="002F0C93">
      <w:pPr>
        <w:pStyle w:val="ListParagraph"/>
        <w:keepNext/>
        <w:keepLines/>
        <w:ind w:left="0"/>
        <w:contextualSpacing w:val="0"/>
        <w:rPr>
          <w:rFonts w:asciiTheme="majorBidi" w:hAnsiTheme="majorBidi" w:cstheme="majorBidi"/>
        </w:rPr>
      </w:pPr>
      <w:r>
        <w:rPr>
          <w:rFonts w:asciiTheme="majorBidi" w:hAnsiTheme="majorBidi" w:cstheme="majorBidi"/>
          <w:b/>
        </w:rPr>
        <w:t xml:space="preserve">Encadré </w:t>
      </w:r>
      <w:r w:rsidR="005430FB">
        <w:rPr>
          <w:rFonts w:asciiTheme="majorBidi" w:hAnsiTheme="majorBidi" w:cstheme="majorBidi"/>
          <w:b/>
        </w:rPr>
        <w:t>1:</w:t>
      </w:r>
      <w:r w:rsidR="005430FB">
        <w:rPr>
          <w:rFonts w:asciiTheme="majorBidi" w:hAnsiTheme="majorBidi" w:cstheme="majorBidi"/>
        </w:rPr>
        <w:t xml:space="preserve"> Définitions de deux termes importants</w:t>
      </w:r>
      <w:r w:rsidR="005430FB">
        <w:rPr>
          <w:rStyle w:val="FootnoteReference"/>
          <w:rFonts w:asciiTheme="majorBidi" w:hAnsiTheme="majorBidi" w:cstheme="majorBidi"/>
        </w:rPr>
        <w:footnoteReference w:id="9"/>
      </w:r>
    </w:p>
    <w:p w14:paraId="0F5E4084" w14:textId="6D1D7086" w:rsidR="00CE1364" w:rsidRDefault="005430FB">
      <w:pPr>
        <w:pStyle w:val="P68B1DB1-Normal5"/>
        <w:keepNext/>
        <w:keepLines/>
        <w:pBdr>
          <w:top w:val="single" w:sz="4" w:space="1" w:color="auto"/>
          <w:left w:val="single" w:sz="4" w:space="4" w:color="auto"/>
          <w:bottom w:val="single" w:sz="4" w:space="1" w:color="auto"/>
          <w:right w:val="single" w:sz="4" w:space="4" w:color="auto"/>
        </w:pBdr>
        <w:spacing w:after="0" w:line="280" w:lineRule="atLeast"/>
      </w:pPr>
      <w:bookmarkStart w:id="0" w:name="OLE_LINK1"/>
      <w:r>
        <w:rPr>
          <w:b/>
        </w:rPr>
        <w:t>Cadre national d’assurance de la qualité (</w:t>
      </w:r>
      <w:r w:rsidR="002F0C93">
        <w:rPr>
          <w:b/>
        </w:rPr>
        <w:t>CNAQ</w:t>
      </w:r>
      <w:r>
        <w:rPr>
          <w:b/>
        </w:rPr>
        <w:t>):</w:t>
      </w:r>
      <w:r>
        <w:t xml:space="preserve"> un système cohérent et holistique de gestion de la qualité statistique. C’est un outil pour tous ceux qui </w:t>
      </w:r>
      <w:r w:rsidR="002F0C93">
        <w:t xml:space="preserve">officient </w:t>
      </w:r>
      <w:r>
        <w:t>dans</w:t>
      </w:r>
      <w:r w:rsidR="00B46EBE">
        <w:t xml:space="preserve"> le domaine</w:t>
      </w:r>
      <w:r>
        <w:t xml:space="preserve"> </w:t>
      </w:r>
      <w:r w:rsidR="00B46EBE">
        <w:t>d</w:t>
      </w:r>
      <w:r>
        <w:t xml:space="preserve">es statistiques officielles. Son objectif est d’améliorer la qualité au niveau du système statistique, notamment en ce qui concerne la gestion, la coordination et les </w:t>
      </w:r>
      <w:r w:rsidR="00B46EBE">
        <w:t xml:space="preserve">dispositions </w:t>
      </w:r>
      <w:r>
        <w:t>institutionnel</w:t>
      </w:r>
      <w:r w:rsidR="002F0C93">
        <w:t>le</w:t>
      </w:r>
      <w:r>
        <w:t xml:space="preserve">s, les processus et les produits statistiques afin de répondre aux besoins des utilisateurs. Il </w:t>
      </w:r>
      <w:r w:rsidR="00B46EBE">
        <w:t xml:space="preserve">propose </w:t>
      </w:r>
      <w:r>
        <w:t xml:space="preserve">une norme de qualité </w:t>
      </w:r>
      <w:r w:rsidR="00B46EBE">
        <w:t xml:space="preserve">pour </w:t>
      </w:r>
      <w:r>
        <w:t>assure</w:t>
      </w:r>
      <w:r w:rsidR="002F0C93">
        <w:t>r</w:t>
      </w:r>
      <w:r>
        <w:t xml:space="preserve"> la confiance dans les statistiques officielles.</w:t>
      </w:r>
      <w:bookmarkEnd w:id="0"/>
    </w:p>
    <w:p w14:paraId="64349998" w14:textId="3A41F0C5" w:rsidR="00CE1364" w:rsidRDefault="005430FB">
      <w:pPr>
        <w:pStyle w:val="P68B1DB1-Normal5"/>
        <w:pBdr>
          <w:top w:val="single" w:sz="4" w:space="1" w:color="auto"/>
          <w:left w:val="single" w:sz="4" w:space="4" w:color="auto"/>
          <w:bottom w:val="single" w:sz="4" w:space="1" w:color="auto"/>
          <w:right w:val="single" w:sz="4" w:space="4" w:color="auto"/>
        </w:pBdr>
        <w:spacing w:before="120" w:after="0" w:line="280" w:lineRule="atLeast"/>
      </w:pPr>
      <w:r w:rsidRPr="00E94DC8">
        <w:rPr>
          <w:b/>
        </w:rPr>
        <w:t>Cadre</w:t>
      </w:r>
      <w:r w:rsidR="00B46EBE">
        <w:t xml:space="preserve"> </w:t>
      </w:r>
      <w:r>
        <w:rPr>
          <w:b/>
        </w:rPr>
        <w:t>national d’assurance de la qualité des Nations Unies</w:t>
      </w:r>
      <w:r w:rsidR="00B46EBE">
        <w:rPr>
          <w:b/>
        </w:rPr>
        <w:t xml:space="preserve"> (CNAQ des Nations </w:t>
      </w:r>
      <w:r w:rsidR="002F0C93">
        <w:rPr>
          <w:b/>
        </w:rPr>
        <w:t>U</w:t>
      </w:r>
      <w:r w:rsidR="00B46EBE">
        <w:rPr>
          <w:b/>
        </w:rPr>
        <w:t>nies)</w:t>
      </w:r>
      <w:r>
        <w:rPr>
          <w:b/>
        </w:rPr>
        <w:t xml:space="preserve">: </w:t>
      </w:r>
      <w:r>
        <w:t xml:space="preserve">le cadre national d’assurance de la qualité </w:t>
      </w:r>
      <w:r w:rsidR="00B46EBE">
        <w:t xml:space="preserve">générique </w:t>
      </w:r>
      <w:r>
        <w:t xml:space="preserve">des Nations Unies, qui figure au chapitre 3 et à l’annexe du Manuel. Le </w:t>
      </w:r>
      <w:r w:rsidR="00B46EBE">
        <w:t>M</w:t>
      </w:r>
      <w:r>
        <w:t xml:space="preserve">anuel et les recommandations qui y figurent ont été adoptés par la Commission </w:t>
      </w:r>
      <w:r w:rsidR="00B46EBE">
        <w:t>s</w:t>
      </w:r>
      <w:r>
        <w:t>tatistique des Nations unies en mars 2019. Le CN</w:t>
      </w:r>
      <w:r w:rsidR="00DC20C9">
        <w:t>A</w:t>
      </w:r>
      <w:r>
        <w:t>Q de</w:t>
      </w:r>
      <w:r w:rsidR="00DC20C9">
        <w:t xml:space="preserve">s Nations </w:t>
      </w:r>
      <w:r w:rsidR="002F0C93">
        <w:t>U</w:t>
      </w:r>
      <w:r w:rsidR="00DC20C9">
        <w:t>nies</w:t>
      </w:r>
      <w:r>
        <w:t xml:space="preserve"> se compose de principes, d’exigences et d’éléments à </w:t>
      </w:r>
      <w:r w:rsidR="00DC20C9">
        <w:t>garantir</w:t>
      </w:r>
      <w:r>
        <w:t>. Le CN</w:t>
      </w:r>
      <w:r w:rsidR="00DC20C9">
        <w:t>A</w:t>
      </w:r>
      <w:r>
        <w:t>Q de</w:t>
      </w:r>
      <w:r w:rsidR="00DC20C9">
        <w:t xml:space="preserve">s Nations </w:t>
      </w:r>
      <w:r w:rsidR="002F0C93">
        <w:t>U</w:t>
      </w:r>
      <w:r w:rsidR="00DC20C9">
        <w:t xml:space="preserve">nies </w:t>
      </w:r>
      <w:r>
        <w:t xml:space="preserve">ne vise pas à remplacer les cadres et lignes directrices existants en matière d’assurance qualité </w:t>
      </w:r>
      <w:r w:rsidR="00DC20C9">
        <w:t xml:space="preserve">des </w:t>
      </w:r>
      <w:r>
        <w:t>statistique</w:t>
      </w:r>
      <w:r w:rsidR="00DC20C9">
        <w:t>s</w:t>
      </w:r>
      <w:r>
        <w:t xml:space="preserve"> officielles. Les pays et les producteurs individuels de</w:t>
      </w:r>
      <w:r w:rsidR="002F0C93">
        <w:t>s</w:t>
      </w:r>
      <w:r>
        <w:t xml:space="preserve"> statistiques officielles qui sont déjà pleinement engagés dans l’assurance qualité et qui suivent l’un des cadres de qualité existants peuvent considérer le CN</w:t>
      </w:r>
      <w:r w:rsidR="00DC20C9">
        <w:t>A</w:t>
      </w:r>
      <w:r>
        <w:t>Q de</w:t>
      </w:r>
      <w:r w:rsidR="00DC20C9">
        <w:t xml:space="preserve">s Nations </w:t>
      </w:r>
      <w:r w:rsidR="002F0C93">
        <w:t>U</w:t>
      </w:r>
      <w:r w:rsidR="00DC20C9">
        <w:t>nies</w:t>
      </w:r>
      <w:r>
        <w:t xml:space="preserve"> et le Manuel uniquement comme un point de référence supplémentaire qui appuie ce qu’ils font déjà</w:t>
      </w:r>
      <w:r w:rsidR="00DC20C9">
        <w:t>,</w:t>
      </w:r>
      <w:r>
        <w:t xml:space="preserve"> et comme une source d’information sur l’application de l’assurance qualité dans différentes situations. </w:t>
      </w:r>
    </w:p>
    <w:p w14:paraId="19051543" w14:textId="77777777" w:rsidR="00CE1364" w:rsidRDefault="00CE1364">
      <w:pPr>
        <w:pStyle w:val="ListParagraph"/>
        <w:ind w:left="0"/>
        <w:rPr>
          <w:sz w:val="22"/>
        </w:rPr>
      </w:pPr>
    </w:p>
    <w:p w14:paraId="4530380B" w14:textId="40AFCD85" w:rsidR="00CE1364" w:rsidRDefault="00DC20C9">
      <w:pPr>
        <w:pStyle w:val="P68B1DB1-Normal4"/>
        <w:spacing w:after="0"/>
      </w:pPr>
      <w:r>
        <w:t>P</w:t>
      </w:r>
      <w:r w:rsidR="005430FB">
        <w:t>artie</w:t>
      </w:r>
      <w:r>
        <w:t xml:space="preserve"> 1</w:t>
      </w:r>
      <w:r w:rsidR="005430FB">
        <w:t>: Approche conceptuelle pour assurer la qualité lors de l’utilisation de</w:t>
      </w:r>
      <w:r w:rsidR="009940D8">
        <w:t>s</w:t>
      </w:r>
      <w:r w:rsidR="005430FB">
        <w:t xml:space="preserve"> données administratives et autres</w:t>
      </w:r>
      <w:r>
        <w:t xml:space="preserve"> sources de données</w:t>
      </w:r>
    </w:p>
    <w:p w14:paraId="3399148F" w14:textId="77777777" w:rsidR="00CE1364" w:rsidRDefault="00CE1364">
      <w:pPr>
        <w:tabs>
          <w:tab w:val="num" w:pos="720"/>
        </w:tabs>
        <w:spacing w:after="0" w:line="240" w:lineRule="auto"/>
        <w:rPr>
          <w:rFonts w:asciiTheme="majorBidi" w:hAnsiTheme="majorBidi" w:cstheme="majorBidi"/>
          <w:sz w:val="24"/>
        </w:rPr>
      </w:pPr>
    </w:p>
    <w:p w14:paraId="22D383F1" w14:textId="1F981A1D" w:rsidR="00CE1364" w:rsidRDefault="005430FB">
      <w:pPr>
        <w:pStyle w:val="ListParagraph"/>
        <w:numPr>
          <w:ilvl w:val="0"/>
          <w:numId w:val="22"/>
        </w:numPr>
        <w:ind w:left="0" w:firstLine="0"/>
      </w:pPr>
      <w:r>
        <w:t>L’approche conceptuelle fournit une structure globale de</w:t>
      </w:r>
      <w:r w:rsidR="00891DCD">
        <w:t>s éléments à prendre</w:t>
      </w:r>
      <w:r>
        <w:t xml:space="preserve"> </w:t>
      </w:r>
      <w:r w:rsidR="009940D8">
        <w:t xml:space="preserve">en </w:t>
      </w:r>
      <w:r>
        <w:t>considér</w:t>
      </w:r>
      <w:r w:rsidR="00891DCD">
        <w:t>ation</w:t>
      </w:r>
      <w:r>
        <w:t xml:space="preserve"> pour </w:t>
      </w:r>
      <w:r w:rsidR="00891DCD">
        <w:t xml:space="preserve">garantir </w:t>
      </w:r>
      <w:r>
        <w:t>la qualité lors de l’utilisation de</w:t>
      </w:r>
      <w:r w:rsidR="009940D8">
        <w:t>s</w:t>
      </w:r>
      <w:r>
        <w:t xml:space="preserve"> administratives et autres</w:t>
      </w:r>
      <w:r w:rsidR="00891DCD">
        <w:t xml:space="preserve"> sources de données</w:t>
      </w:r>
      <w:r>
        <w:t xml:space="preserve">. </w:t>
      </w:r>
      <w:r w:rsidR="00891DCD">
        <w:t>Elle</w:t>
      </w:r>
      <w:r>
        <w:t xml:space="preserve"> se compose de conditions préalables importantes, de quatre actions et de deux considérations générales, comme illustré à </w:t>
      </w:r>
      <w:r>
        <w:rPr>
          <w:b/>
        </w:rPr>
        <w:t>la figure 1</w:t>
      </w:r>
      <w:r>
        <w:t xml:space="preserve">. Ces </w:t>
      </w:r>
      <w:r w:rsidR="00891DCD">
        <w:t xml:space="preserve">actions </w:t>
      </w:r>
      <w:r>
        <w:t xml:space="preserve">et considérations générales </w:t>
      </w:r>
      <w:r>
        <w:lastRenderedPageBreak/>
        <w:t xml:space="preserve">sont </w:t>
      </w:r>
      <w:r w:rsidR="00891DCD">
        <w:t xml:space="preserve">appelées </w:t>
      </w:r>
      <w:r>
        <w:t>«hyper</w:t>
      </w:r>
      <w:r w:rsidR="00891DCD">
        <w:t>-</w:t>
      </w:r>
      <w:r>
        <w:t xml:space="preserve">dimensions» dans certaines pratiques nationales et lignes directrices disponibles. Les quatre actions peuvent être comprises comme des activités ou des étapes qui doivent généralement </w:t>
      </w:r>
      <w:r w:rsidR="00891DCD">
        <w:t>être réalisées lors</w:t>
      </w:r>
      <w:r>
        <w:t xml:space="preserve"> de l’utilisation de</w:t>
      </w:r>
      <w:r w:rsidR="009940D8">
        <w:t>s</w:t>
      </w:r>
      <w:r>
        <w:t xml:space="preserve"> données administratives et autres</w:t>
      </w:r>
      <w:r w:rsidR="00891DCD">
        <w:t xml:space="preserve"> sources de données</w:t>
      </w:r>
      <w:r>
        <w:t xml:space="preserve">. </w:t>
      </w:r>
      <w:r w:rsidR="00162671">
        <w:t xml:space="preserve">Elles </w:t>
      </w:r>
      <w:r>
        <w:t xml:space="preserve">peuvent se </w:t>
      </w:r>
      <w:r w:rsidR="00162671">
        <w:t xml:space="preserve">succéder </w:t>
      </w:r>
      <w:r>
        <w:t>ou être entrepris</w:t>
      </w:r>
      <w:r w:rsidR="00162671">
        <w:t>es</w:t>
      </w:r>
      <w:r>
        <w:t xml:space="preserve"> individuellement, en fonction des circonstances spécifiques. Les deux considérations générales reflètent </w:t>
      </w:r>
      <w:r w:rsidR="00162671">
        <w:t>l</w:t>
      </w:r>
      <w:r>
        <w:t xml:space="preserve">es aspects qui doivent être pris en compte au cours des quatre actions et concernent les besoins des utilisateurs, la qualité des données </w:t>
      </w:r>
      <w:r w:rsidR="009940D8">
        <w:t xml:space="preserve">sources </w:t>
      </w:r>
      <w:r>
        <w:t xml:space="preserve">et </w:t>
      </w:r>
      <w:r w:rsidR="009940D8">
        <w:t xml:space="preserve">des </w:t>
      </w:r>
      <w:r>
        <w:t xml:space="preserve">métadonnées. </w:t>
      </w:r>
    </w:p>
    <w:p w14:paraId="7CCB8A55" w14:textId="77777777" w:rsidR="00CE1364" w:rsidRDefault="00CE1364">
      <w:pPr>
        <w:pStyle w:val="ListParagraph"/>
        <w:ind w:left="0"/>
      </w:pPr>
    </w:p>
    <w:p w14:paraId="16832ED9" w14:textId="12A52B15" w:rsidR="00CE1364" w:rsidRDefault="005430FB">
      <w:pPr>
        <w:pStyle w:val="ListParagraph"/>
        <w:numPr>
          <w:ilvl w:val="0"/>
          <w:numId w:val="22"/>
        </w:numPr>
        <w:ind w:left="0" w:firstLine="0"/>
      </w:pPr>
      <w:r>
        <w:t xml:space="preserve">L’approche conceptuelle repose sur l’identification et l’analyse des exigences et pratiques pertinentes dans un </w:t>
      </w:r>
      <w:r w:rsidR="00162671">
        <w:t xml:space="preserve">large ensemble </w:t>
      </w:r>
      <w:r>
        <w:t xml:space="preserve">de pratiques nationales disponibles et </w:t>
      </w:r>
      <w:r w:rsidR="00162671">
        <w:t>de</w:t>
      </w:r>
      <w:r>
        <w:t xml:space="preserve"> lignes directrices disponibles pour l’assurance qualité lors de l’utilisation </w:t>
      </w:r>
      <w:r w:rsidR="009940D8">
        <w:t>des</w:t>
      </w:r>
      <w:r>
        <w:t xml:space="preserve"> données administratives et autres</w:t>
      </w:r>
      <w:r w:rsidR="00162671">
        <w:t xml:space="preserve"> sources de données</w:t>
      </w:r>
      <w:r>
        <w:t>, ainsi que sur l’identification et l’analyse des exigences et pratiques pertinentes dans le cadre du CN</w:t>
      </w:r>
      <w:r w:rsidR="00162671">
        <w:t>A</w:t>
      </w:r>
      <w:r>
        <w:t>Q</w:t>
      </w:r>
      <w:r w:rsidR="00162671">
        <w:t xml:space="preserve"> des Nations </w:t>
      </w:r>
      <w:r w:rsidR="009940D8">
        <w:t>U</w:t>
      </w:r>
      <w:r w:rsidR="00162671">
        <w:t>nies</w:t>
      </w:r>
      <w:r>
        <w:t xml:space="preserve">. En conséquence, les </w:t>
      </w:r>
      <w:r w:rsidR="00162671">
        <w:t>actions</w:t>
      </w:r>
      <w:r w:rsidR="004C15AE">
        <w:t xml:space="preserve"> et</w:t>
      </w:r>
      <w:r>
        <w:t xml:space="preserve"> les considérations générales et les conditions préalables </w:t>
      </w:r>
      <w:r w:rsidR="00162671">
        <w:t xml:space="preserve">présentées </w:t>
      </w:r>
      <w:r>
        <w:t>dans l’approche conceptuelle de la figure 1 sont étroitement liées aux exigences pertinentes du CN</w:t>
      </w:r>
      <w:r w:rsidR="00162671">
        <w:t>A</w:t>
      </w:r>
      <w:r>
        <w:t>Q de</w:t>
      </w:r>
      <w:r w:rsidR="00162671">
        <w:t xml:space="preserve">s Nations </w:t>
      </w:r>
      <w:r w:rsidR="009940D8">
        <w:t>U</w:t>
      </w:r>
      <w:r w:rsidR="00162671">
        <w:t>nies</w:t>
      </w:r>
      <w:r>
        <w:t>, comme indiqué par les chiffres entre parenthèses.</w:t>
      </w:r>
      <w:r>
        <w:rPr>
          <w:rStyle w:val="FootnoteReference"/>
        </w:rPr>
        <w:footnoteReference w:id="10"/>
      </w:r>
      <w:r>
        <w:t xml:space="preserve"> </w:t>
      </w:r>
      <w:r w:rsidR="009940D8">
        <w:t>En</w:t>
      </w:r>
      <w:r>
        <w:t xml:space="preserve"> même temps, </w:t>
      </w:r>
      <w:r w:rsidR="004C15AE">
        <w:t>c</w:t>
      </w:r>
      <w:r>
        <w:t xml:space="preserve">es deux </w:t>
      </w:r>
      <w:r w:rsidR="004C15AE">
        <w:t xml:space="preserve">concepts </w:t>
      </w:r>
      <w:r>
        <w:t>sont liés à la liste de contrôle de</w:t>
      </w:r>
      <w:r w:rsidR="004C15AE">
        <w:t>s</w:t>
      </w:r>
      <w:r>
        <w:t xml:space="preserve"> dix exigences </w:t>
      </w:r>
      <w:r w:rsidR="004C15AE">
        <w:t xml:space="preserve">essentielles </w:t>
      </w:r>
      <w:r>
        <w:t xml:space="preserve">de la partie 2, comme illustré à l’annexe 4. Les différentes parties de l’approche conceptuelle sont également cohérentes et se chevauchent avec les phases et sous-processus du modèle de </w:t>
      </w:r>
      <w:r w:rsidR="004C15AE">
        <w:t xml:space="preserve">générique du processus de production </w:t>
      </w:r>
      <w:r>
        <w:t>statistique (GSBPM), qui s’applique à l’utilisation de toute source de données.</w:t>
      </w:r>
      <w:r>
        <w:rPr>
          <w:rStyle w:val="FootnoteReference"/>
        </w:rPr>
        <w:footnoteReference w:id="11"/>
      </w:r>
    </w:p>
    <w:p w14:paraId="4EBC6D9A" w14:textId="77777777" w:rsidR="00CE1364" w:rsidRDefault="00CE1364">
      <w:pPr>
        <w:pStyle w:val="ListParagraph"/>
      </w:pPr>
    </w:p>
    <w:p w14:paraId="77926647" w14:textId="2CC7F027" w:rsidR="00CE1364" w:rsidRDefault="004C15AE">
      <w:pPr>
        <w:pStyle w:val="ListParagraph"/>
        <w:numPr>
          <w:ilvl w:val="0"/>
          <w:numId w:val="22"/>
        </w:numPr>
        <w:ind w:left="0" w:firstLine="0"/>
      </w:pPr>
      <w:r>
        <w:t xml:space="preserve">Une brève </w:t>
      </w:r>
      <w:r w:rsidR="005430FB">
        <w:t>description des quatre actions identifiées dans l’approche conceptuelle</w:t>
      </w:r>
      <w:r>
        <w:t xml:space="preserve"> est fournie</w:t>
      </w:r>
      <w:r w:rsidR="009940D8">
        <w:t xml:space="preserve"> ci-après</w:t>
      </w:r>
      <w:r w:rsidR="005430FB">
        <w:t xml:space="preserve">. Les deux considérations générales relatives aux besoins des utilisateurs, à savoir la qualité des données </w:t>
      </w:r>
      <w:r w:rsidR="009940D8">
        <w:t xml:space="preserve">source </w:t>
      </w:r>
      <w:r w:rsidR="005430FB">
        <w:t xml:space="preserve">et </w:t>
      </w:r>
      <w:r w:rsidR="009940D8">
        <w:t xml:space="preserve">des </w:t>
      </w:r>
      <w:r w:rsidR="005430FB">
        <w:t xml:space="preserve">métadonnées, sont incluses dans la description des quatre actions, car elles </w:t>
      </w:r>
      <w:r>
        <w:t>en font partie intégrante</w:t>
      </w:r>
      <w:r w:rsidR="00975336">
        <w:t xml:space="preserve"> et ne sont pas séparées. </w:t>
      </w:r>
      <w:r w:rsidR="005430FB">
        <w:t xml:space="preserve">En outre, </w:t>
      </w:r>
      <w:r w:rsidR="00975336">
        <w:t xml:space="preserve">certaines </w:t>
      </w:r>
      <w:r w:rsidR="005430FB">
        <w:t xml:space="preserve">conditions préalables doivent être prises en </w:t>
      </w:r>
      <w:r w:rsidR="00975336">
        <w:t xml:space="preserve">compte </w:t>
      </w:r>
      <w:r w:rsidR="005430FB">
        <w:t>avant ou pendant le processus d’exploration de l’utilisation des données administratives et autres</w:t>
      </w:r>
      <w:r w:rsidR="00975336">
        <w:t xml:space="preserve"> sources de données</w:t>
      </w:r>
      <w:r w:rsidR="005430FB">
        <w:t>, à savoir l’accès aux données et la confidentialité.</w:t>
      </w:r>
    </w:p>
    <w:p w14:paraId="27017794" w14:textId="77777777" w:rsidR="00CE1364" w:rsidRDefault="00CE1364">
      <w:pPr>
        <w:pStyle w:val="ListParagraph"/>
      </w:pPr>
    </w:p>
    <w:p w14:paraId="782927BE" w14:textId="2AD3E702" w:rsidR="00CE1364" w:rsidRDefault="005430FB">
      <w:pPr>
        <w:pStyle w:val="P68B1DB1-Normal4"/>
        <w:keepNext/>
        <w:keepLines/>
        <w:ind w:firstLine="720"/>
      </w:pPr>
      <w:r>
        <w:lastRenderedPageBreak/>
        <w:t xml:space="preserve">Action 1: Identification des besoins </w:t>
      </w:r>
      <w:r w:rsidR="004B2AC4">
        <w:t xml:space="preserve">en </w:t>
      </w:r>
      <w:r>
        <w:t>statistiques et sélection de la source de données</w:t>
      </w:r>
    </w:p>
    <w:p w14:paraId="0D9B6940" w14:textId="09A89B27" w:rsidR="00CE1364" w:rsidRDefault="005430FB">
      <w:pPr>
        <w:pStyle w:val="ListParagraph"/>
        <w:keepNext/>
        <w:keepLines/>
        <w:numPr>
          <w:ilvl w:val="0"/>
          <w:numId w:val="22"/>
        </w:numPr>
        <w:ind w:left="0" w:firstLine="0"/>
      </w:pPr>
      <w:r>
        <w:t>La première action opérationnelle lors de l’utilisation d’une source de données administrative ou d’une autre source de données est souvent la sélection de la source de données elle-même (voir l’exigence 10.3 du CN</w:t>
      </w:r>
      <w:r w:rsidR="004B2AC4">
        <w:t>AQ</w:t>
      </w:r>
      <w:r>
        <w:t xml:space="preserve"> de</w:t>
      </w:r>
      <w:r w:rsidR="004B2AC4">
        <w:t xml:space="preserve">s Nations </w:t>
      </w:r>
      <w:r w:rsidR="0081748A">
        <w:t>U</w:t>
      </w:r>
      <w:r w:rsidR="004B2AC4">
        <w:t>nies)</w:t>
      </w:r>
      <w:r>
        <w:t xml:space="preserve"> sur la base des besoins des utilisateurs en matière de statistiques pertinentes (</w:t>
      </w:r>
      <w:r w:rsidR="004B2AC4">
        <w:t xml:space="preserve">illustrée par la </w:t>
      </w:r>
      <w:r w:rsidR="0081748A">
        <w:t>C</w:t>
      </w:r>
      <w:r w:rsidR="004B2AC4">
        <w:t xml:space="preserve">onsidération </w:t>
      </w:r>
      <w:r w:rsidR="00DC52CF">
        <w:t>générale</w:t>
      </w:r>
      <w:r w:rsidR="004B2AC4">
        <w:t xml:space="preserve"> 1</w:t>
      </w:r>
      <w:r>
        <w:t xml:space="preserve">). La sélection de la source de données nécessite également une évaluation préliminaire des métadonnées et des données </w:t>
      </w:r>
      <w:r w:rsidR="0081748A">
        <w:t xml:space="preserve">de base </w:t>
      </w:r>
      <w:r>
        <w:t xml:space="preserve">de la source de données potentielle </w:t>
      </w:r>
      <w:r w:rsidR="004B2AC4">
        <w:t>(</w:t>
      </w:r>
      <w:r w:rsidR="0081748A">
        <w:t>C</w:t>
      </w:r>
      <w:r w:rsidR="004B2AC4">
        <w:t xml:space="preserve">onsidération </w:t>
      </w:r>
      <w:r w:rsidR="00DC52CF">
        <w:t>générale</w:t>
      </w:r>
      <w:r w:rsidR="004B2AC4">
        <w:t xml:space="preserve"> </w:t>
      </w:r>
      <w:r>
        <w:t>2). Les considérations éthiques, l</w:t>
      </w:r>
      <w:r w:rsidR="004B2AC4">
        <w:t xml:space="preserve">a nécessité de sélectionner </w:t>
      </w:r>
      <w:r>
        <w:t>une source de données sur une base objective et une analyse coûts-avantages initiale sont également importantes lors de la sélection d’une source de données.</w:t>
      </w:r>
    </w:p>
    <w:p w14:paraId="278E234E" w14:textId="77777777" w:rsidR="00CE1364" w:rsidRDefault="00CE1364">
      <w:pPr>
        <w:spacing w:after="0" w:line="240" w:lineRule="auto"/>
        <w:rPr>
          <w:rFonts w:ascii="Times New Roman" w:hAnsi="Times New Roman" w:cs="Times New Roman"/>
          <w:sz w:val="24"/>
        </w:rPr>
      </w:pPr>
    </w:p>
    <w:p w14:paraId="721449EF" w14:textId="2CF922ED" w:rsidR="00CE1364" w:rsidRDefault="005430FB">
      <w:pPr>
        <w:pStyle w:val="P68B1DB1-Normal4"/>
        <w:keepNext/>
        <w:keepLines/>
        <w:ind w:firstLine="720"/>
      </w:pPr>
      <w:r>
        <w:t>Action 2: Coopération avec les fournisseurs de données</w:t>
      </w:r>
    </w:p>
    <w:p w14:paraId="0129A99A" w14:textId="61C8C6E2" w:rsidR="00CE1364" w:rsidRDefault="005430FB">
      <w:pPr>
        <w:pStyle w:val="ListParagraph"/>
        <w:numPr>
          <w:ilvl w:val="0"/>
          <w:numId w:val="22"/>
        </w:numPr>
        <w:ind w:left="0" w:firstLine="0"/>
      </w:pPr>
      <w:r>
        <w:t>Pour une source de données sélectionnée, un accord de coopération ou un protocole d’accord avec le fournisseur de données</w:t>
      </w:r>
      <w:r>
        <w:rPr>
          <w:rStyle w:val="FootnoteReference"/>
          <w:rFonts w:asciiTheme="majorBidi" w:hAnsiTheme="majorBidi" w:cstheme="majorBidi"/>
        </w:rPr>
        <w:footnoteReference w:id="12"/>
      </w:r>
      <w:r>
        <w:t xml:space="preserve"> est une bonne pratique pour faciliter l’accès et l’utilisation du niveau d</w:t>
      </w:r>
      <w:r w:rsidR="0081748A">
        <w:t>es unités d’</w:t>
      </w:r>
      <w:r>
        <w:t>observation et des données agrégées (voir l’exigence 2.5 ou 2.6 du CN</w:t>
      </w:r>
      <w:r w:rsidR="004B2AC4">
        <w:t>AQ</w:t>
      </w:r>
      <w:r>
        <w:t xml:space="preserve"> de</w:t>
      </w:r>
      <w:r w:rsidR="004B2AC4">
        <w:t>s Nations unies</w:t>
      </w:r>
      <w:r>
        <w:t xml:space="preserve">). Cet accord contiendra des informations sur </w:t>
      </w:r>
      <w:r w:rsidR="00F34774">
        <w:t>les modalité</w:t>
      </w:r>
      <w:r w:rsidR="0081748A">
        <w:t>s</w:t>
      </w:r>
      <w:r w:rsidR="00F34774">
        <w:t xml:space="preserve"> </w:t>
      </w:r>
      <w:r>
        <w:t xml:space="preserve">de </w:t>
      </w:r>
      <w:r w:rsidR="00F34774">
        <w:t>mise à disposition</w:t>
      </w:r>
      <w:r>
        <w:t xml:space="preserve"> des données</w:t>
      </w:r>
      <w:r w:rsidR="00F34774">
        <w:t xml:space="preserve"> sollicitées</w:t>
      </w:r>
      <w:r>
        <w:t xml:space="preserve">, notamment en ce qui concerne le mécanisme de transfert technique, l’identification des </w:t>
      </w:r>
      <w:r w:rsidR="00636ADB">
        <w:t xml:space="preserve">jeux de </w:t>
      </w:r>
      <w:r>
        <w:t xml:space="preserve">données et des données, le calendrier de </w:t>
      </w:r>
      <w:r w:rsidR="0081748A">
        <w:t xml:space="preserve">transmission </w:t>
      </w:r>
      <w:r>
        <w:t xml:space="preserve">et les exigences de qualité. </w:t>
      </w:r>
      <w:r w:rsidR="00F34774">
        <w:t>La mise à disposition d’</w:t>
      </w:r>
      <w:r>
        <w:t xml:space="preserve">un rapport de qualité ou une déclaration de qualité </w:t>
      </w:r>
      <w:r w:rsidR="00F34774">
        <w:t xml:space="preserve">par </w:t>
      </w:r>
      <w:r>
        <w:t>le fournisseur de</w:t>
      </w:r>
      <w:r w:rsidR="0081748A">
        <w:t>s</w:t>
      </w:r>
      <w:r>
        <w:t xml:space="preserve"> données </w:t>
      </w:r>
      <w:r w:rsidR="00F34774">
        <w:t xml:space="preserve">à l’organisme </w:t>
      </w:r>
      <w:r>
        <w:t xml:space="preserve">statistique et référencé ou joint dans l’accord de coopération est une bonne pratique. </w:t>
      </w:r>
      <w:r w:rsidR="00F34774">
        <w:t>L’</w:t>
      </w:r>
      <w:r w:rsidR="0081748A">
        <w:t>I</w:t>
      </w:r>
      <w:r w:rsidR="00F34774">
        <w:t xml:space="preserve">nstitut </w:t>
      </w:r>
      <w:r w:rsidR="0081748A">
        <w:t>N</w:t>
      </w:r>
      <w:r>
        <w:t xml:space="preserve">ational de </w:t>
      </w:r>
      <w:r w:rsidR="0081748A">
        <w:t>S</w:t>
      </w:r>
      <w:r>
        <w:t>tatistique (</w:t>
      </w:r>
      <w:r w:rsidR="00F34774">
        <w:t>I</w:t>
      </w:r>
      <w:r>
        <w:t xml:space="preserve">NS) donne également des orientations aux fournisseurs de données sur les normes statistiques et coopère en permanence avec </w:t>
      </w:r>
      <w:r w:rsidR="0081748A">
        <w:t>eux</w:t>
      </w:r>
      <w:r>
        <w:t>. L’accord de coopération devrait reposer sur une évaluation approfondie des métadonnées (</w:t>
      </w:r>
      <w:r w:rsidR="00F34774">
        <w:t xml:space="preserve">considération </w:t>
      </w:r>
      <w:r w:rsidR="00DC52CF">
        <w:t>générales</w:t>
      </w:r>
      <w:r w:rsidR="00F34774">
        <w:t xml:space="preserve"> </w:t>
      </w:r>
      <w:r>
        <w:t>2).</w:t>
      </w:r>
    </w:p>
    <w:p w14:paraId="3001BEB4" w14:textId="77777777" w:rsidR="00CE1364" w:rsidRDefault="00CE1364">
      <w:pPr>
        <w:keepNext/>
        <w:keepLines/>
        <w:spacing w:after="0" w:line="240" w:lineRule="auto"/>
        <w:rPr>
          <w:rFonts w:ascii="Times New Roman" w:hAnsi="Times New Roman" w:cs="Times New Roman"/>
          <w:sz w:val="24"/>
        </w:rPr>
      </w:pPr>
    </w:p>
    <w:p w14:paraId="620299B0" w14:textId="2F21B785" w:rsidR="00CE1364" w:rsidRDefault="005430FB">
      <w:pPr>
        <w:pStyle w:val="P68B1DB1-Normal4"/>
        <w:keepNext/>
        <w:keepLines/>
        <w:ind w:firstLine="720"/>
      </w:pPr>
      <w:r>
        <w:t>Action 3: Acquisition et traitement des données</w:t>
      </w:r>
    </w:p>
    <w:p w14:paraId="41EAAC47" w14:textId="48344BEE" w:rsidR="00CE1364" w:rsidRDefault="005430FB" w:rsidP="0065134D">
      <w:pPr>
        <w:pStyle w:val="ListParagraph"/>
        <w:numPr>
          <w:ilvl w:val="0"/>
          <w:numId w:val="22"/>
        </w:numPr>
        <w:ind w:left="0" w:firstLine="0"/>
      </w:pPr>
      <w:r>
        <w:t>Les organismes statistique ont besoin de procédures appropriées pour l’acquisition et le traitement de</w:t>
      </w:r>
      <w:r w:rsidR="0081748A">
        <w:t>s</w:t>
      </w:r>
      <w:r>
        <w:t xml:space="preserve"> données administratives et autres </w:t>
      </w:r>
      <w:r w:rsidR="0065134D">
        <w:t xml:space="preserve">sources de données </w:t>
      </w:r>
      <w:r>
        <w:t>(voir l’exigence 12.3</w:t>
      </w:r>
      <w:r w:rsidR="0065134D">
        <w:t xml:space="preserve"> du CNAQ des Nations </w:t>
      </w:r>
      <w:r w:rsidR="0081748A">
        <w:t>U</w:t>
      </w:r>
      <w:r w:rsidR="0065134D">
        <w:t>nies</w:t>
      </w:r>
      <w:r>
        <w:t>). Parmi les autres considérations figurent l’assurance de la solidité méthodologique, l’amélioration du potentiel des données administratives et autres</w:t>
      </w:r>
      <w:r w:rsidR="0065134D">
        <w:t xml:space="preserve"> sources de données</w:t>
      </w:r>
      <w:r>
        <w:t>, l’assurance de</w:t>
      </w:r>
      <w:r w:rsidR="0081748A">
        <w:t>s</w:t>
      </w:r>
      <w:r>
        <w:t xml:space="preserve"> procédures statistiques appropriées et la gestion de la charge des répondants par </w:t>
      </w:r>
      <w:r w:rsidR="0065134D">
        <w:t>le biais du</w:t>
      </w:r>
      <w:r>
        <w:t xml:space="preserve"> partage des données, </w:t>
      </w:r>
      <w:r w:rsidR="0065134D">
        <w:t>du</w:t>
      </w:r>
      <w:r>
        <w:t xml:space="preserve"> couplage des données et</w:t>
      </w:r>
      <w:r w:rsidR="0081748A">
        <w:t xml:space="preserve"> de</w:t>
      </w:r>
      <w:r>
        <w:t xml:space="preserve"> l’utilisation de</w:t>
      </w:r>
      <w:r w:rsidR="0081748A">
        <w:t>s</w:t>
      </w:r>
      <w:r>
        <w:t xml:space="preserve"> données administratives et autres</w:t>
      </w:r>
      <w:r w:rsidR="0065134D">
        <w:t xml:space="preserve"> sources de données</w:t>
      </w:r>
      <w:r>
        <w:t xml:space="preserve">. L’utilisation des données </w:t>
      </w:r>
      <w:r w:rsidR="0081748A">
        <w:t xml:space="preserve">de base </w:t>
      </w:r>
      <w:r>
        <w:t>nécessite également une évaluation approfondie de leur qualité et de</w:t>
      </w:r>
      <w:r w:rsidR="0081748A">
        <w:t>s</w:t>
      </w:r>
      <w:r>
        <w:t xml:space="preserve"> métadonnées complètes (</w:t>
      </w:r>
      <w:r w:rsidR="0065134D">
        <w:t xml:space="preserve">considération </w:t>
      </w:r>
      <w:r w:rsidR="00DC52CF">
        <w:t>générales</w:t>
      </w:r>
      <w:r>
        <w:t xml:space="preserve"> 2). L’action 3 est étroitement liée aux phases </w:t>
      </w:r>
      <w:r w:rsidR="0065134D">
        <w:t xml:space="preserve">de </w:t>
      </w:r>
      <w:r>
        <w:t>«Collect</w:t>
      </w:r>
      <w:r w:rsidR="0065134D">
        <w:t>e</w:t>
      </w:r>
      <w:r>
        <w:t>» et d</w:t>
      </w:r>
      <w:r w:rsidR="0065134D">
        <w:t>e</w:t>
      </w:r>
      <w:r>
        <w:t xml:space="preserve"> «</w:t>
      </w:r>
      <w:r w:rsidR="0065134D">
        <w:t>Traitement</w:t>
      </w:r>
      <w:r>
        <w:t>»</w:t>
      </w:r>
      <w:r w:rsidR="0065134D">
        <w:t xml:space="preserve"> du</w:t>
      </w:r>
      <w:r w:rsidR="0065134D" w:rsidRPr="0065134D">
        <w:t xml:space="preserve"> </w:t>
      </w:r>
      <w:r w:rsidR="0065134D">
        <w:t>GSBPM</w:t>
      </w:r>
      <w:r w:rsidR="0081748A">
        <w:t>.</w:t>
      </w:r>
    </w:p>
    <w:p w14:paraId="4F3F5EAC" w14:textId="77777777" w:rsidR="00CE1364" w:rsidRDefault="00CE1364">
      <w:pPr>
        <w:spacing w:after="0" w:line="240" w:lineRule="auto"/>
        <w:rPr>
          <w:rFonts w:ascii="Times New Roman" w:hAnsi="Times New Roman" w:cs="Times New Roman"/>
          <w:sz w:val="24"/>
        </w:rPr>
      </w:pPr>
    </w:p>
    <w:p w14:paraId="2A1E9914" w14:textId="5D95EDD0" w:rsidR="00CE1364" w:rsidRDefault="005430FB">
      <w:pPr>
        <w:pStyle w:val="P68B1DB1-Normal4"/>
        <w:keepNext/>
        <w:keepLines/>
        <w:ind w:firstLine="720"/>
      </w:pPr>
      <w:r>
        <w:lastRenderedPageBreak/>
        <w:t>Action 4: Diffusion</w:t>
      </w:r>
    </w:p>
    <w:p w14:paraId="1FFA1E7A" w14:textId="22DDA995" w:rsidR="00CE1364" w:rsidRDefault="005430FB">
      <w:pPr>
        <w:pStyle w:val="ListParagraph"/>
        <w:keepNext/>
        <w:keepLines/>
        <w:numPr>
          <w:ilvl w:val="0"/>
          <w:numId w:val="22"/>
        </w:numPr>
        <w:ind w:left="0" w:firstLine="0"/>
        <w:rPr>
          <w:rFonts w:asciiTheme="majorBidi" w:hAnsiTheme="majorBidi" w:cstheme="majorBidi"/>
          <w:b/>
          <w:color w:val="000000" w:themeColor="text1"/>
        </w:rPr>
      </w:pPr>
      <w:r>
        <w:t xml:space="preserve">Les utilisateurs et </w:t>
      </w:r>
      <w:r w:rsidR="00B93854">
        <w:t xml:space="preserve">leurs </w:t>
      </w:r>
      <w:r>
        <w:t>besoins sont identifiés, et des statistiques basées sur des sources de données nouvelles et existantes sont élaborées en réponse aux besoins émergents de la société en matière d’information (</w:t>
      </w:r>
      <w:r w:rsidR="00B93854">
        <w:t xml:space="preserve">considération </w:t>
      </w:r>
      <w:r w:rsidR="00DC52CF">
        <w:t>générale</w:t>
      </w:r>
      <w:r>
        <w:t xml:space="preserve"> 1), et les besoins des utilisateurs sont satisfaits. La diffusion des résultats statistiques qui en résultent tient compte des caractéristiques particulières des données administratives et autres</w:t>
      </w:r>
      <w:r w:rsidR="00B93854">
        <w:t xml:space="preserve"> sources de données</w:t>
      </w:r>
      <w:r>
        <w:t>.</w:t>
      </w:r>
    </w:p>
    <w:p w14:paraId="0718EA17" w14:textId="7E5AF631" w:rsidR="00CE1364" w:rsidRDefault="00CE1364">
      <w:pPr>
        <w:pStyle w:val="ListParagraph"/>
        <w:ind w:left="0"/>
        <w:rPr>
          <w:rFonts w:asciiTheme="majorBidi" w:hAnsiTheme="majorBidi" w:cstheme="majorBidi"/>
          <w:b/>
          <w:color w:val="000000" w:themeColor="text1"/>
        </w:rPr>
      </w:pPr>
    </w:p>
    <w:p w14:paraId="5E0A0265" w14:textId="4FF558D3" w:rsidR="00CE1364" w:rsidRDefault="005430FB">
      <w:pPr>
        <w:pStyle w:val="P68B1DB1-Normal6"/>
        <w:keepNext/>
        <w:keepLines/>
        <w:tabs>
          <w:tab w:val="num" w:pos="720"/>
        </w:tabs>
        <w:spacing w:line="240" w:lineRule="auto"/>
      </w:pPr>
      <w:r>
        <w:rPr>
          <w:b/>
        </w:rPr>
        <w:t xml:space="preserve">Figure 1: </w:t>
      </w:r>
      <w:r>
        <w:t>Assurer la qualité des statistiques officielles lors de l’utilisation de</w:t>
      </w:r>
      <w:r w:rsidR="00636ADB">
        <w:t>s</w:t>
      </w:r>
      <w:r>
        <w:t xml:space="preserve"> données administratives et autres données </w:t>
      </w:r>
      <w:r w:rsidR="00636ADB">
        <w:t>de base</w:t>
      </w:r>
      <w:r>
        <w:t xml:space="preserve"> — une approche conceptuelle identifiant les actions et les aspects pertinents à prendre en considération.</w:t>
      </w:r>
    </w:p>
    <w:p w14:paraId="315234AD" w14:textId="77777777" w:rsidR="00B630EF" w:rsidRPr="008268C4" w:rsidRDefault="00B630EF" w:rsidP="00B630EF">
      <w:pPr>
        <w:keepNext/>
        <w:keepLines/>
        <w:tabs>
          <w:tab w:val="num" w:pos="720"/>
        </w:tabs>
        <w:spacing w:line="240" w:lineRule="auto"/>
        <w:rPr>
          <w:rFonts w:asciiTheme="majorBidi" w:hAnsiTheme="majorBidi" w:cstheme="majorBidi"/>
          <w:color w:val="000000" w:themeColor="text1"/>
          <w:sz w:val="24"/>
          <w:szCs w:val="24"/>
          <w:lang w:val="fr-FR"/>
        </w:rPr>
      </w:pPr>
      <w:r w:rsidRPr="00896F81">
        <w:rPr>
          <w:rFonts w:asciiTheme="majorBidi" w:hAnsiTheme="majorBidi" w:cstheme="majorBidi"/>
          <w:noProof/>
          <w:color w:val="000000" w:themeColor="text1"/>
          <w:sz w:val="24"/>
          <w:szCs w:val="24"/>
          <w:lang w:val="fr-FR" w:eastAsia="fr-FR"/>
        </w:rPr>
        <mc:AlternateContent>
          <mc:Choice Requires="wps">
            <w:drawing>
              <wp:anchor distT="0" distB="0" distL="114300" distR="114300" simplePos="0" relativeHeight="251659264" behindDoc="0" locked="0" layoutInCell="1" allowOverlap="1" wp14:anchorId="465ECC78" wp14:editId="3DD701C5">
                <wp:simplePos x="0" y="0"/>
                <wp:positionH relativeFrom="margin">
                  <wp:posOffset>952500</wp:posOffset>
                </wp:positionH>
                <wp:positionV relativeFrom="paragraph">
                  <wp:posOffset>6350</wp:posOffset>
                </wp:positionV>
                <wp:extent cx="3848100" cy="666750"/>
                <wp:effectExtent l="0" t="0" r="19050" b="19050"/>
                <wp:wrapNone/>
                <wp:docPr id="6" name="Rektangel 5">
                  <a:extLst xmlns:a="http://schemas.openxmlformats.org/drawingml/2006/main">
                    <a:ext uri="{FF2B5EF4-FFF2-40B4-BE49-F238E27FC236}">
                      <a16:creationId xmlns:a16="http://schemas.microsoft.com/office/drawing/2014/main" id="{1795785F-1F68-430A-9BF3-11F01014B31A}"/>
                    </a:ext>
                  </a:extLst>
                </wp:docPr>
                <wp:cNvGraphicFramePr/>
                <a:graphic xmlns:a="http://schemas.openxmlformats.org/drawingml/2006/main">
                  <a:graphicData uri="http://schemas.microsoft.com/office/word/2010/wordprocessingShape">
                    <wps:wsp>
                      <wps:cNvSpPr/>
                      <wps:spPr>
                        <a:xfrm>
                          <a:off x="0" y="0"/>
                          <a:ext cx="3848100" cy="666750"/>
                        </a:xfrm>
                        <a:prstGeom prst="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170955" w14:textId="77777777" w:rsidR="001A5F74" w:rsidRDefault="001A5F74" w:rsidP="00B630EF">
                            <w:pPr>
                              <w:spacing w:after="120" w:line="240" w:lineRule="auto"/>
                              <w:rPr>
                                <w:b/>
                                <w:bCs/>
                                <w:color w:val="000000" w:themeColor="text1"/>
                                <w:kern w:val="24"/>
                                <w:sz w:val="24"/>
                                <w:szCs w:val="24"/>
                              </w:rPr>
                            </w:pPr>
                            <w:r w:rsidRPr="00BF51DC">
                              <w:rPr>
                                <w:b/>
                                <w:bCs/>
                                <w:color w:val="000000" w:themeColor="text1"/>
                                <w:kern w:val="24"/>
                              </w:rPr>
                              <w:t>Conditions préalables importantes</w:t>
                            </w:r>
                            <w:r>
                              <w:rPr>
                                <w:b/>
                                <w:bCs/>
                                <w:color w:val="000000" w:themeColor="text1"/>
                                <w:kern w:val="24"/>
                              </w:rPr>
                              <w:t>:</w:t>
                            </w:r>
                          </w:p>
                          <w:p w14:paraId="6ECDF6EA" w14:textId="77777777" w:rsidR="001A5F74" w:rsidRDefault="001A5F74" w:rsidP="00B630EF">
                            <w:pPr>
                              <w:pStyle w:val="ListParagraph"/>
                              <w:numPr>
                                <w:ilvl w:val="0"/>
                                <w:numId w:val="43"/>
                              </w:numPr>
                              <w:rPr>
                                <w:b/>
                                <w:bCs/>
                                <w:color w:val="000000" w:themeColor="text1"/>
                                <w:kern w:val="24"/>
                                <w:sz w:val="20"/>
                              </w:rPr>
                            </w:pPr>
                            <w:r w:rsidRPr="00193553">
                              <w:rPr>
                                <w:b/>
                                <w:bCs/>
                                <w:color w:val="000000" w:themeColor="text1"/>
                                <w:kern w:val="24"/>
                                <w:sz w:val="20"/>
                              </w:rPr>
                              <w:t>Base juridique (2.5 et 2.6</w:t>
                            </w:r>
                            <w:r>
                              <w:rPr>
                                <w:b/>
                                <w:bCs/>
                                <w:color w:val="000000" w:themeColor="text1"/>
                                <w:kern w:val="24"/>
                                <w:sz w:val="20"/>
                              </w:rPr>
                              <w:t xml:space="preserve">)* </w:t>
                            </w:r>
                          </w:p>
                          <w:p w14:paraId="6E866491" w14:textId="77777777" w:rsidR="001A5F74" w:rsidRPr="00193553" w:rsidRDefault="001A5F74" w:rsidP="00B630EF">
                            <w:pPr>
                              <w:pStyle w:val="ListParagraph"/>
                              <w:numPr>
                                <w:ilvl w:val="0"/>
                                <w:numId w:val="43"/>
                              </w:numPr>
                              <w:rPr>
                                <w:b/>
                                <w:bCs/>
                                <w:color w:val="000000" w:themeColor="text1"/>
                                <w:kern w:val="24"/>
                                <w:sz w:val="20"/>
                                <w:lang w:val="fr-FR"/>
                              </w:rPr>
                            </w:pPr>
                            <w:r w:rsidRPr="00193553">
                              <w:rPr>
                                <w:b/>
                                <w:bCs/>
                                <w:color w:val="000000" w:themeColor="text1"/>
                                <w:kern w:val="24"/>
                                <w:sz w:val="20"/>
                                <w:lang w:val="fr-FR"/>
                              </w:rPr>
                              <w:t>Confidentialité et sécurité des données (7.1-7.6)*</w:t>
                            </w:r>
                          </w:p>
                        </w:txbxContent>
                      </wps:txbx>
                      <wps:bodyPr wrap="square" lIns="9144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65ECC78" id="Rektangel 5" o:spid="_x0000_s1026" style="position:absolute;margin-left:75pt;margin-top:.5pt;width:303pt;height: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" fillcolor="#cfcdcd [2894]" strokecolor="#1f3763 [1604]" strokeweight="1pt">
                <v:textbox inset=",0,0,0">
                  <w:txbxContent>
                    <w:p w14:paraId="60170955" w14:textId="77777777" w:rsidR="001A5F74" w:rsidRDefault="001A5F74" w:rsidP="00B630EF">
                      <w:pPr>
                        <w:spacing w:after="120" w:line="240" w:lineRule="auto"/>
                        <w:rPr>
                          <w:b/>
                          <w:bCs/>
                          <w:color w:val="000000" w:themeColor="text1"/>
                          <w:kern w:val="24"/>
                          <w:sz w:val="24"/>
                          <w:szCs w:val="24"/>
                        </w:rPr>
                      </w:pPr>
                      <w:r w:rsidRPr="00BF51DC">
                        <w:rPr>
                          <w:b/>
                          <w:bCs/>
                          <w:color w:val="000000" w:themeColor="text1"/>
                          <w:kern w:val="24"/>
                        </w:rPr>
                        <w:t>Conditions préalables importantes</w:t>
                      </w:r>
                      <w:r>
                        <w:rPr>
                          <w:b/>
                          <w:bCs/>
                          <w:color w:val="000000" w:themeColor="text1"/>
                          <w:kern w:val="24"/>
                        </w:rPr>
                        <w:t>:</w:t>
                      </w:r>
                    </w:p>
                    <w:p w14:paraId="6ECDF6EA" w14:textId="77777777" w:rsidR="001A5F74" w:rsidRDefault="001A5F74" w:rsidP="00B630EF">
                      <w:pPr>
                        <w:pStyle w:val="ListParagraph"/>
                        <w:numPr>
                          <w:ilvl w:val="0"/>
                          <w:numId w:val="43"/>
                        </w:numPr>
                        <w:rPr>
                          <w:b/>
                          <w:bCs/>
                          <w:color w:val="000000" w:themeColor="text1"/>
                          <w:kern w:val="24"/>
                          <w:sz w:val="20"/>
                        </w:rPr>
                      </w:pPr>
                      <w:r w:rsidRPr="00193553">
                        <w:rPr>
                          <w:b/>
                          <w:bCs/>
                          <w:color w:val="000000" w:themeColor="text1"/>
                          <w:kern w:val="24"/>
                          <w:sz w:val="20"/>
                        </w:rPr>
                        <w:t>Base juridique (2.5 et 2.6</w:t>
                      </w:r>
                      <w:r>
                        <w:rPr>
                          <w:b/>
                          <w:bCs/>
                          <w:color w:val="000000" w:themeColor="text1"/>
                          <w:kern w:val="24"/>
                          <w:sz w:val="20"/>
                        </w:rPr>
                        <w:t xml:space="preserve">)* </w:t>
                      </w:r>
                    </w:p>
                    <w:p w14:paraId="6E866491" w14:textId="77777777" w:rsidR="001A5F74" w:rsidRPr="00193553" w:rsidRDefault="001A5F74" w:rsidP="00B630EF">
                      <w:pPr>
                        <w:pStyle w:val="ListParagraph"/>
                        <w:numPr>
                          <w:ilvl w:val="0"/>
                          <w:numId w:val="43"/>
                        </w:numPr>
                        <w:rPr>
                          <w:b/>
                          <w:bCs/>
                          <w:color w:val="000000" w:themeColor="text1"/>
                          <w:kern w:val="24"/>
                          <w:sz w:val="20"/>
                          <w:lang w:val="fr-FR"/>
                        </w:rPr>
                      </w:pPr>
                      <w:r w:rsidRPr="00193553">
                        <w:rPr>
                          <w:b/>
                          <w:bCs/>
                          <w:color w:val="000000" w:themeColor="text1"/>
                          <w:kern w:val="24"/>
                          <w:sz w:val="20"/>
                          <w:lang w:val="fr-FR"/>
                        </w:rPr>
                        <w:t>Confidentialité et sécurité des données (7.1-7.6)*</w:t>
                      </w:r>
                    </w:p>
                  </w:txbxContent>
                </v:textbox>
                <w10:wrap anchorx="margin"/>
              </v:rect>
            </w:pict>
          </mc:Fallback>
        </mc:AlternateContent>
      </w:r>
    </w:p>
    <w:p w14:paraId="39BBAA3D" w14:textId="77777777" w:rsidR="00B630EF" w:rsidRPr="008268C4" w:rsidRDefault="00B630EF" w:rsidP="00B630EF">
      <w:pPr>
        <w:keepNext/>
        <w:keepLines/>
        <w:tabs>
          <w:tab w:val="num" w:pos="720"/>
        </w:tabs>
        <w:spacing w:line="240" w:lineRule="auto"/>
        <w:rPr>
          <w:rFonts w:asciiTheme="majorBidi" w:hAnsiTheme="majorBidi" w:cstheme="majorBidi"/>
          <w:color w:val="000000" w:themeColor="text1"/>
          <w:sz w:val="24"/>
          <w:szCs w:val="24"/>
          <w:lang w:val="fr-FR"/>
        </w:rPr>
      </w:pPr>
    </w:p>
    <w:p w14:paraId="6F7EB462" w14:textId="2614A318" w:rsidR="00B630EF" w:rsidRPr="008268C4" w:rsidRDefault="00B630EF" w:rsidP="00B630EF">
      <w:pPr>
        <w:keepNext/>
        <w:keepLines/>
        <w:tabs>
          <w:tab w:val="num" w:pos="720"/>
        </w:tabs>
        <w:spacing w:line="240" w:lineRule="auto"/>
        <w:rPr>
          <w:rFonts w:asciiTheme="majorBidi" w:hAnsiTheme="majorBidi" w:cstheme="majorBidi"/>
          <w:color w:val="000000" w:themeColor="text1"/>
          <w:sz w:val="24"/>
          <w:szCs w:val="24"/>
          <w:lang w:val="fr-FR"/>
        </w:rPr>
      </w:pPr>
      <w:r w:rsidRPr="00896F81">
        <w:rPr>
          <w:rFonts w:asciiTheme="majorBidi" w:hAnsiTheme="majorBidi" w:cstheme="majorBidi"/>
          <w:noProof/>
          <w:color w:val="000000" w:themeColor="text1"/>
          <w:sz w:val="24"/>
          <w:szCs w:val="24"/>
          <w:lang w:val="fr-FR" w:eastAsia="fr-FR"/>
        </w:rPr>
        <mc:AlternateContent>
          <mc:Choice Requires="wps">
            <w:drawing>
              <wp:anchor distT="0" distB="0" distL="114300" distR="114300" simplePos="0" relativeHeight="251660288" behindDoc="0" locked="0" layoutInCell="1" allowOverlap="1" wp14:anchorId="7C6BA4CD" wp14:editId="1AFB2507">
                <wp:simplePos x="0" y="0"/>
                <wp:positionH relativeFrom="margin">
                  <wp:posOffset>962025</wp:posOffset>
                </wp:positionH>
                <wp:positionV relativeFrom="paragraph">
                  <wp:posOffset>252730</wp:posOffset>
                </wp:positionV>
                <wp:extent cx="3838575" cy="1200150"/>
                <wp:effectExtent l="0" t="0" r="28575" b="19050"/>
                <wp:wrapNone/>
                <wp:docPr id="13" name="Rektangel 12">
                  <a:extLst xmlns:a="http://schemas.openxmlformats.org/drawingml/2006/main">
                    <a:ext uri="{FF2B5EF4-FFF2-40B4-BE49-F238E27FC236}">
                      <a16:creationId xmlns:a16="http://schemas.microsoft.com/office/drawing/2014/main" id="{D841264C-E2C8-451A-B8E6-2252567736B1}"/>
                    </a:ext>
                  </a:extLst>
                </wp:docPr>
                <wp:cNvGraphicFramePr/>
                <a:graphic xmlns:a="http://schemas.openxmlformats.org/drawingml/2006/main">
                  <a:graphicData uri="http://schemas.microsoft.com/office/word/2010/wordprocessingShape">
                    <wps:wsp>
                      <wps:cNvSpPr/>
                      <wps:spPr>
                        <a:xfrm>
                          <a:off x="0" y="0"/>
                          <a:ext cx="3838575" cy="120015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BADFBF" w14:textId="5351D31A" w:rsidR="001A5F74" w:rsidRPr="00484C0C" w:rsidRDefault="001A5F74" w:rsidP="00B630EF">
                            <w:pPr>
                              <w:rPr>
                                <w:b/>
                                <w:bCs/>
                                <w:i/>
                                <w:iCs/>
                                <w:color w:val="000000" w:themeColor="text1"/>
                                <w:kern w:val="24"/>
                                <w:sz w:val="24"/>
                                <w:szCs w:val="24"/>
                                <w:lang w:val="fr-FR"/>
                              </w:rPr>
                            </w:pPr>
                            <w:r w:rsidRPr="00AA3C5F">
                              <w:rPr>
                                <w:b/>
                                <w:bCs/>
                                <w:i/>
                                <w:iCs/>
                                <w:color w:val="000000" w:themeColor="text1"/>
                                <w:kern w:val="24"/>
                                <w:lang w:val="fr-FR"/>
                              </w:rPr>
                              <w:t xml:space="preserve">Action 1. </w:t>
                            </w:r>
                            <w:r w:rsidRPr="00484C0C">
                              <w:rPr>
                                <w:b/>
                                <w:bCs/>
                                <w:i/>
                                <w:iCs/>
                                <w:color w:val="000000" w:themeColor="text1"/>
                                <w:kern w:val="24"/>
                                <w:lang w:val="fr-FR"/>
                              </w:rPr>
                              <w:t xml:space="preserve">Besoin </w:t>
                            </w:r>
                            <w:r>
                              <w:rPr>
                                <w:b/>
                                <w:bCs/>
                                <w:i/>
                                <w:iCs/>
                                <w:color w:val="000000" w:themeColor="text1"/>
                                <w:kern w:val="24"/>
                                <w:lang w:val="fr-FR"/>
                              </w:rPr>
                              <w:t xml:space="preserve">en </w:t>
                            </w:r>
                            <w:r w:rsidRPr="00484C0C">
                              <w:rPr>
                                <w:b/>
                                <w:bCs/>
                                <w:i/>
                                <w:iCs/>
                                <w:color w:val="000000" w:themeColor="text1"/>
                                <w:kern w:val="24"/>
                                <w:lang w:val="fr-FR"/>
                              </w:rPr>
                              <w:t>statistique et sélection de la source de données (10.3, 10.5, 5.2, 5.3, 11.1, 11.2, 11.5)*</w:t>
                            </w:r>
                          </w:p>
                          <w:p w14:paraId="5126649F" w14:textId="77777777" w:rsidR="001A5F74" w:rsidRPr="006E205C" w:rsidRDefault="001A5F74" w:rsidP="00B630EF">
                            <w:pPr>
                              <w:pStyle w:val="ListParagraph"/>
                              <w:numPr>
                                <w:ilvl w:val="0"/>
                                <w:numId w:val="43"/>
                              </w:numPr>
                              <w:rPr>
                                <w:b/>
                                <w:bCs/>
                                <w:color w:val="000000" w:themeColor="text1"/>
                                <w:kern w:val="24"/>
                                <w:sz w:val="20"/>
                                <w:lang w:val="fr-FR"/>
                              </w:rPr>
                            </w:pPr>
                            <w:r w:rsidRPr="006E205C">
                              <w:rPr>
                                <w:b/>
                                <w:bCs/>
                                <w:color w:val="000000" w:themeColor="text1"/>
                                <w:kern w:val="24"/>
                                <w:sz w:val="20"/>
                                <w:lang w:val="fr-FR"/>
                              </w:rPr>
                              <w:t>Identification et évaluation des sources de données</w:t>
                            </w:r>
                          </w:p>
                          <w:p w14:paraId="48EF177B" w14:textId="7E91E4B9" w:rsidR="001A5F74" w:rsidRDefault="001A5F74" w:rsidP="00B630EF">
                            <w:pPr>
                              <w:pStyle w:val="ListParagraph"/>
                              <w:numPr>
                                <w:ilvl w:val="0"/>
                                <w:numId w:val="43"/>
                              </w:numPr>
                              <w:rPr>
                                <w:b/>
                                <w:bCs/>
                                <w:color w:val="000000" w:themeColor="text1"/>
                                <w:kern w:val="24"/>
                                <w:sz w:val="20"/>
                                <w:lang w:val="fr-FR"/>
                              </w:rPr>
                            </w:pPr>
                            <w:r w:rsidRPr="00B97E10">
                              <w:rPr>
                                <w:b/>
                                <w:bCs/>
                                <w:color w:val="000000" w:themeColor="text1"/>
                                <w:kern w:val="24"/>
                                <w:sz w:val="20"/>
                                <w:lang w:val="fr-FR"/>
                              </w:rPr>
                              <w:t>Evalua</w:t>
                            </w:r>
                            <w:r>
                              <w:rPr>
                                <w:b/>
                                <w:bCs/>
                                <w:color w:val="000000" w:themeColor="text1"/>
                                <w:kern w:val="24"/>
                                <w:sz w:val="20"/>
                                <w:lang w:val="fr-FR"/>
                              </w:rPr>
                              <w:t xml:space="preserve">tion de la conformité de </w:t>
                            </w:r>
                            <w:r w:rsidRPr="00B97E10">
                              <w:rPr>
                                <w:b/>
                                <w:bCs/>
                                <w:color w:val="000000" w:themeColor="text1"/>
                                <w:kern w:val="24"/>
                                <w:sz w:val="20"/>
                                <w:lang w:val="fr-FR"/>
                              </w:rPr>
                              <w:t xml:space="preserve">la population aux exigences de résultats, </w:t>
                            </w:r>
                            <w:r>
                              <w:rPr>
                                <w:b/>
                                <w:bCs/>
                                <w:color w:val="000000" w:themeColor="text1"/>
                                <w:kern w:val="24"/>
                                <w:sz w:val="20"/>
                                <w:lang w:val="fr-FR"/>
                              </w:rPr>
                              <w:t xml:space="preserve">notamment </w:t>
                            </w:r>
                            <w:r w:rsidRPr="00B97E10">
                              <w:rPr>
                                <w:b/>
                                <w:bCs/>
                                <w:color w:val="000000" w:themeColor="text1"/>
                                <w:kern w:val="24"/>
                                <w:sz w:val="20"/>
                                <w:lang w:val="fr-FR"/>
                              </w:rPr>
                              <w:t xml:space="preserve">les concepts, les </w:t>
                            </w:r>
                            <w:r w:rsidR="00636ADB">
                              <w:rPr>
                                <w:b/>
                                <w:bCs/>
                                <w:color w:val="000000" w:themeColor="text1"/>
                                <w:kern w:val="24"/>
                                <w:sz w:val="20"/>
                                <w:lang w:val="fr-FR"/>
                              </w:rPr>
                              <w:t>nomenclatures</w:t>
                            </w:r>
                            <w:r w:rsidRPr="00B97E10">
                              <w:rPr>
                                <w:b/>
                                <w:bCs/>
                                <w:color w:val="000000" w:themeColor="text1"/>
                                <w:kern w:val="24"/>
                                <w:sz w:val="20"/>
                                <w:lang w:val="fr-FR"/>
                              </w:rPr>
                              <w:t>, etc.)</w:t>
                            </w:r>
                          </w:p>
                          <w:p w14:paraId="17649CDB" w14:textId="77777777" w:rsidR="001A5F74" w:rsidRPr="00B97E10" w:rsidRDefault="001A5F74" w:rsidP="00B630EF">
                            <w:pPr>
                              <w:pStyle w:val="ListParagraph"/>
                              <w:numPr>
                                <w:ilvl w:val="0"/>
                                <w:numId w:val="43"/>
                              </w:numPr>
                              <w:rPr>
                                <w:b/>
                                <w:bCs/>
                                <w:color w:val="000000" w:themeColor="text1"/>
                                <w:kern w:val="24"/>
                                <w:sz w:val="20"/>
                                <w:lang w:val="fr-FR"/>
                              </w:rPr>
                            </w:pPr>
                            <w:r w:rsidRPr="00B97E10">
                              <w:rPr>
                                <w:b/>
                                <w:bCs/>
                                <w:color w:val="000000" w:themeColor="text1"/>
                                <w:kern w:val="24"/>
                                <w:sz w:val="20"/>
                                <w:lang w:val="fr-FR"/>
                              </w:rPr>
                              <w:t>Sélection de la source de données</w:t>
                            </w:r>
                          </w:p>
                        </w:txbxContent>
                      </wps:txbx>
                      <wps:bodyPr wrap="square" lIns="9144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C6BA4CD" id="Rektangel 12" o:spid="_x0000_s1027" style="position:absolute;margin-left:75.75pt;margin-top:19.9pt;width:302.25pt;height:9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" fillcolor="#d9e2f3 [660]" strokecolor="#1f3763 [1604]" strokeweight="1pt">
                <v:textbox inset=",0,0,0">
                  <w:txbxContent>
                    <w:p w14:paraId="39BADFBF" w14:textId="5351D31A" w:rsidR="001A5F74" w:rsidRPr="00484C0C" w:rsidRDefault="001A5F74" w:rsidP="00B630EF">
                      <w:pPr>
                        <w:rPr>
                          <w:b/>
                          <w:bCs/>
                          <w:i/>
                          <w:iCs/>
                          <w:color w:val="000000" w:themeColor="text1"/>
                          <w:kern w:val="24"/>
                          <w:sz w:val="24"/>
                          <w:szCs w:val="24"/>
                          <w:lang w:val="fr-FR"/>
                        </w:rPr>
                      </w:pPr>
                      <w:r w:rsidRPr="00AA3C5F">
                        <w:rPr>
                          <w:b/>
                          <w:bCs/>
                          <w:i/>
                          <w:iCs/>
                          <w:color w:val="000000" w:themeColor="text1"/>
                          <w:kern w:val="24"/>
                          <w:lang w:val="fr-FR"/>
                        </w:rPr>
                        <w:t xml:space="preserve">Action 1. </w:t>
                      </w:r>
                      <w:r w:rsidRPr="00484C0C">
                        <w:rPr>
                          <w:b/>
                          <w:bCs/>
                          <w:i/>
                          <w:iCs/>
                          <w:color w:val="000000" w:themeColor="text1"/>
                          <w:kern w:val="24"/>
                          <w:lang w:val="fr-FR"/>
                        </w:rPr>
                        <w:t xml:space="preserve">Besoin </w:t>
                      </w:r>
                      <w:r>
                        <w:rPr>
                          <w:b/>
                          <w:bCs/>
                          <w:i/>
                          <w:iCs/>
                          <w:color w:val="000000" w:themeColor="text1"/>
                          <w:kern w:val="24"/>
                          <w:lang w:val="fr-FR"/>
                        </w:rPr>
                        <w:t xml:space="preserve">en </w:t>
                      </w:r>
                      <w:r w:rsidRPr="00484C0C">
                        <w:rPr>
                          <w:b/>
                          <w:bCs/>
                          <w:i/>
                          <w:iCs/>
                          <w:color w:val="000000" w:themeColor="text1"/>
                          <w:kern w:val="24"/>
                          <w:lang w:val="fr-FR"/>
                        </w:rPr>
                        <w:t>statistique et sélection de la source de données (10.3, 10.5, 5.2, 5.3, 11.1, 11.2, 11.5)*</w:t>
                      </w:r>
                    </w:p>
                    <w:p w14:paraId="5126649F" w14:textId="77777777" w:rsidR="001A5F74" w:rsidRPr="006E205C" w:rsidRDefault="001A5F74" w:rsidP="00B630EF">
                      <w:pPr>
                        <w:pStyle w:val="ListParagraph"/>
                        <w:numPr>
                          <w:ilvl w:val="0"/>
                          <w:numId w:val="43"/>
                        </w:numPr>
                        <w:rPr>
                          <w:b/>
                          <w:bCs/>
                          <w:color w:val="000000" w:themeColor="text1"/>
                          <w:kern w:val="24"/>
                          <w:sz w:val="20"/>
                          <w:lang w:val="fr-FR"/>
                        </w:rPr>
                      </w:pPr>
                      <w:r w:rsidRPr="006E205C">
                        <w:rPr>
                          <w:b/>
                          <w:bCs/>
                          <w:color w:val="000000" w:themeColor="text1"/>
                          <w:kern w:val="24"/>
                          <w:sz w:val="20"/>
                          <w:lang w:val="fr-FR"/>
                        </w:rPr>
                        <w:t>Identification et évaluation des sources de données</w:t>
                      </w:r>
                    </w:p>
                    <w:p w14:paraId="48EF177B" w14:textId="7E91E4B9" w:rsidR="001A5F74" w:rsidRDefault="001A5F74" w:rsidP="00B630EF">
                      <w:pPr>
                        <w:pStyle w:val="ListParagraph"/>
                        <w:numPr>
                          <w:ilvl w:val="0"/>
                          <w:numId w:val="43"/>
                        </w:numPr>
                        <w:rPr>
                          <w:b/>
                          <w:bCs/>
                          <w:color w:val="000000" w:themeColor="text1"/>
                          <w:kern w:val="24"/>
                          <w:sz w:val="20"/>
                          <w:lang w:val="fr-FR"/>
                        </w:rPr>
                      </w:pPr>
                      <w:r w:rsidRPr="00B97E10">
                        <w:rPr>
                          <w:b/>
                          <w:bCs/>
                          <w:color w:val="000000" w:themeColor="text1"/>
                          <w:kern w:val="24"/>
                          <w:sz w:val="20"/>
                          <w:lang w:val="fr-FR"/>
                        </w:rPr>
                        <w:t>Evalua</w:t>
                      </w:r>
                      <w:r>
                        <w:rPr>
                          <w:b/>
                          <w:bCs/>
                          <w:color w:val="000000" w:themeColor="text1"/>
                          <w:kern w:val="24"/>
                          <w:sz w:val="20"/>
                          <w:lang w:val="fr-FR"/>
                        </w:rPr>
                        <w:t xml:space="preserve">tion de la conformité de </w:t>
                      </w:r>
                      <w:r w:rsidRPr="00B97E10">
                        <w:rPr>
                          <w:b/>
                          <w:bCs/>
                          <w:color w:val="000000" w:themeColor="text1"/>
                          <w:kern w:val="24"/>
                          <w:sz w:val="20"/>
                          <w:lang w:val="fr-FR"/>
                        </w:rPr>
                        <w:t xml:space="preserve">la population aux exigences de résultats, </w:t>
                      </w:r>
                      <w:r>
                        <w:rPr>
                          <w:b/>
                          <w:bCs/>
                          <w:color w:val="000000" w:themeColor="text1"/>
                          <w:kern w:val="24"/>
                          <w:sz w:val="20"/>
                          <w:lang w:val="fr-FR"/>
                        </w:rPr>
                        <w:t xml:space="preserve">notamment </w:t>
                      </w:r>
                      <w:r w:rsidRPr="00B97E10">
                        <w:rPr>
                          <w:b/>
                          <w:bCs/>
                          <w:color w:val="000000" w:themeColor="text1"/>
                          <w:kern w:val="24"/>
                          <w:sz w:val="20"/>
                          <w:lang w:val="fr-FR"/>
                        </w:rPr>
                        <w:t xml:space="preserve">les concepts, les </w:t>
                      </w:r>
                      <w:r w:rsidR="00636ADB">
                        <w:rPr>
                          <w:b/>
                          <w:bCs/>
                          <w:color w:val="000000" w:themeColor="text1"/>
                          <w:kern w:val="24"/>
                          <w:sz w:val="20"/>
                          <w:lang w:val="fr-FR"/>
                        </w:rPr>
                        <w:t>nomenclatures</w:t>
                      </w:r>
                      <w:r w:rsidRPr="00B97E10">
                        <w:rPr>
                          <w:b/>
                          <w:bCs/>
                          <w:color w:val="000000" w:themeColor="text1"/>
                          <w:kern w:val="24"/>
                          <w:sz w:val="20"/>
                          <w:lang w:val="fr-FR"/>
                        </w:rPr>
                        <w:t>, etc.)</w:t>
                      </w:r>
                    </w:p>
                    <w:p w14:paraId="17649CDB" w14:textId="77777777" w:rsidR="001A5F74" w:rsidRPr="00B97E10" w:rsidRDefault="001A5F74" w:rsidP="00B630EF">
                      <w:pPr>
                        <w:pStyle w:val="ListParagraph"/>
                        <w:numPr>
                          <w:ilvl w:val="0"/>
                          <w:numId w:val="43"/>
                        </w:numPr>
                        <w:rPr>
                          <w:b/>
                          <w:bCs/>
                          <w:color w:val="000000" w:themeColor="text1"/>
                          <w:kern w:val="24"/>
                          <w:sz w:val="20"/>
                          <w:lang w:val="fr-FR"/>
                        </w:rPr>
                      </w:pPr>
                      <w:r w:rsidRPr="00B97E10">
                        <w:rPr>
                          <w:b/>
                          <w:bCs/>
                          <w:color w:val="000000" w:themeColor="text1"/>
                          <w:kern w:val="24"/>
                          <w:sz w:val="20"/>
                          <w:lang w:val="fr-FR"/>
                        </w:rPr>
                        <w:t>Sélection de la source de données</w:t>
                      </w:r>
                    </w:p>
                  </w:txbxContent>
                </v:textbox>
                <w10:wrap anchorx="margin"/>
              </v:rect>
            </w:pict>
          </mc:Fallback>
        </mc:AlternateContent>
      </w:r>
    </w:p>
    <w:p w14:paraId="6ADB05B7" w14:textId="5D4C2C82" w:rsidR="00B630EF" w:rsidRPr="008268C4" w:rsidRDefault="00B630EF" w:rsidP="00B630EF">
      <w:pPr>
        <w:keepNext/>
        <w:keepLines/>
        <w:tabs>
          <w:tab w:val="num" w:pos="720"/>
        </w:tabs>
        <w:spacing w:line="240" w:lineRule="auto"/>
        <w:rPr>
          <w:rFonts w:asciiTheme="majorBidi" w:hAnsiTheme="majorBidi" w:cstheme="majorBidi"/>
          <w:color w:val="000000" w:themeColor="text1"/>
          <w:sz w:val="24"/>
          <w:szCs w:val="24"/>
          <w:lang w:val="fr-FR"/>
        </w:rPr>
      </w:pPr>
      <w:r w:rsidRPr="00896F81">
        <w:rPr>
          <w:rFonts w:asciiTheme="majorBidi" w:hAnsiTheme="majorBidi" w:cstheme="majorBidi"/>
          <w:noProof/>
          <w:color w:val="000000" w:themeColor="text1"/>
          <w:sz w:val="24"/>
          <w:szCs w:val="24"/>
          <w:lang w:val="fr-FR" w:eastAsia="fr-FR"/>
        </w:rPr>
        <mc:AlternateContent>
          <mc:Choice Requires="wps">
            <w:drawing>
              <wp:anchor distT="0" distB="0" distL="114300" distR="114300" simplePos="0" relativeHeight="251670528" behindDoc="0" locked="0" layoutInCell="1" allowOverlap="1" wp14:anchorId="7977F70B" wp14:editId="073CB95C">
                <wp:simplePos x="0" y="0"/>
                <wp:positionH relativeFrom="column">
                  <wp:posOffset>-304800</wp:posOffset>
                </wp:positionH>
                <wp:positionV relativeFrom="paragraph">
                  <wp:posOffset>261620</wp:posOffset>
                </wp:positionV>
                <wp:extent cx="866775" cy="4048125"/>
                <wp:effectExtent l="0" t="0" r="28575" b="28575"/>
                <wp:wrapNone/>
                <wp:docPr id="16" name="Rektangel 15">
                  <a:extLst xmlns:a="http://schemas.openxmlformats.org/drawingml/2006/main">
                    <a:ext uri="{FF2B5EF4-FFF2-40B4-BE49-F238E27FC236}">
                      <a16:creationId xmlns:a16="http://schemas.microsoft.com/office/drawing/2014/main" id="{FE2C2957-70FE-4EC5-B59E-4FD67B96202F}"/>
                    </a:ext>
                  </a:extLst>
                </wp:docPr>
                <wp:cNvGraphicFramePr/>
                <a:graphic xmlns:a="http://schemas.openxmlformats.org/drawingml/2006/main">
                  <a:graphicData uri="http://schemas.microsoft.com/office/word/2010/wordprocessingShape">
                    <wps:wsp>
                      <wps:cNvSpPr/>
                      <wps:spPr>
                        <a:xfrm>
                          <a:off x="0" y="0"/>
                          <a:ext cx="866775" cy="404812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120ED1" w14:textId="77777777" w:rsidR="001A5F74" w:rsidRPr="00F5142A" w:rsidRDefault="001A5F74" w:rsidP="00B630EF">
                            <w:pPr>
                              <w:jc w:val="center"/>
                              <w:rPr>
                                <w:i/>
                                <w:iCs/>
                                <w:color w:val="000000" w:themeColor="text1"/>
                                <w:kern w:val="24"/>
                                <w:lang w:val="fr-FR"/>
                              </w:rPr>
                            </w:pPr>
                            <w:r w:rsidRPr="00F5142A">
                              <w:rPr>
                                <w:i/>
                                <w:iCs/>
                                <w:color w:val="000000" w:themeColor="text1"/>
                                <w:kern w:val="24"/>
                                <w:sz w:val="20"/>
                                <w:lang w:val="fr-FR"/>
                              </w:rPr>
                              <w:t>Considérations générales 1</w:t>
                            </w:r>
                          </w:p>
                          <w:p w14:paraId="54CF3B2C" w14:textId="332A2A54" w:rsidR="001A5F74" w:rsidRPr="00F5142A" w:rsidRDefault="001A5F74" w:rsidP="00B630EF">
                            <w:pPr>
                              <w:jc w:val="center"/>
                              <w:rPr>
                                <w:b/>
                                <w:bCs/>
                                <w:color w:val="000000" w:themeColor="text1"/>
                                <w:kern w:val="24"/>
                                <w:sz w:val="20"/>
                                <w:lang w:val="fr-FR"/>
                              </w:rPr>
                            </w:pPr>
                            <w:r w:rsidRPr="00F5142A">
                              <w:rPr>
                                <w:b/>
                                <w:bCs/>
                                <w:color w:val="000000" w:themeColor="text1"/>
                                <w:kern w:val="24"/>
                                <w:sz w:val="20"/>
                                <w:lang w:val="fr-FR"/>
                              </w:rPr>
                              <w:t>Besoins des utilisateurs</w:t>
                            </w:r>
                            <w:r>
                              <w:rPr>
                                <w:b/>
                                <w:bCs/>
                                <w:color w:val="000000" w:themeColor="text1"/>
                                <w:kern w:val="24"/>
                                <w:sz w:val="20"/>
                                <w:lang w:val="fr-FR"/>
                              </w:rPr>
                              <w:t xml:space="preserve"> en matière</w:t>
                            </w:r>
                            <w:r w:rsidRPr="00F5142A">
                              <w:rPr>
                                <w:b/>
                                <w:bCs/>
                                <w:color w:val="000000" w:themeColor="text1"/>
                                <w:kern w:val="24"/>
                                <w:sz w:val="20"/>
                                <w:lang w:val="fr-FR"/>
                              </w:rPr>
                              <w:t xml:space="preserve"> de statistiques pertinentes (14.1,14.3)*</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977F70B" id="Rektangel 15" o:spid="_x0000_s1028" style="position:absolute;margin-left:-24pt;margin-top:20.6pt;width:68.25pt;height:3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" fillcolor="#d9e2f3 [660]" strokecolor="#1f3763 [1604]" strokeweight="1pt">
                <v:textbox inset="0,0,0,0">
                  <w:txbxContent>
                    <w:p w14:paraId="49120ED1" w14:textId="77777777" w:rsidR="001A5F74" w:rsidRPr="00F5142A" w:rsidRDefault="001A5F74" w:rsidP="00B630EF">
                      <w:pPr>
                        <w:jc w:val="center"/>
                        <w:rPr>
                          <w:i/>
                          <w:iCs/>
                          <w:color w:val="000000" w:themeColor="text1"/>
                          <w:kern w:val="24"/>
                          <w:lang w:val="fr-FR"/>
                        </w:rPr>
                      </w:pPr>
                      <w:r w:rsidRPr="00F5142A">
                        <w:rPr>
                          <w:i/>
                          <w:iCs/>
                          <w:color w:val="000000" w:themeColor="text1"/>
                          <w:kern w:val="24"/>
                          <w:sz w:val="20"/>
                          <w:lang w:val="fr-FR"/>
                        </w:rPr>
                        <w:t>Considérations générales 1</w:t>
                      </w:r>
                    </w:p>
                    <w:p w14:paraId="54CF3B2C" w14:textId="332A2A54" w:rsidR="001A5F74" w:rsidRPr="00F5142A" w:rsidRDefault="001A5F74" w:rsidP="00B630EF">
                      <w:pPr>
                        <w:jc w:val="center"/>
                        <w:rPr>
                          <w:b/>
                          <w:bCs/>
                          <w:color w:val="000000" w:themeColor="text1"/>
                          <w:kern w:val="24"/>
                          <w:sz w:val="20"/>
                          <w:lang w:val="fr-FR"/>
                        </w:rPr>
                      </w:pPr>
                      <w:r w:rsidRPr="00F5142A">
                        <w:rPr>
                          <w:b/>
                          <w:bCs/>
                          <w:color w:val="000000" w:themeColor="text1"/>
                          <w:kern w:val="24"/>
                          <w:sz w:val="20"/>
                          <w:lang w:val="fr-FR"/>
                        </w:rPr>
                        <w:t>Besoins des utilisateurs</w:t>
                      </w:r>
                      <w:r>
                        <w:rPr>
                          <w:b/>
                          <w:bCs/>
                          <w:color w:val="000000" w:themeColor="text1"/>
                          <w:kern w:val="24"/>
                          <w:sz w:val="20"/>
                          <w:lang w:val="fr-FR"/>
                        </w:rPr>
                        <w:t xml:space="preserve"> en matière</w:t>
                      </w:r>
                      <w:r w:rsidRPr="00F5142A">
                        <w:rPr>
                          <w:b/>
                          <w:bCs/>
                          <w:color w:val="000000" w:themeColor="text1"/>
                          <w:kern w:val="24"/>
                          <w:sz w:val="20"/>
                          <w:lang w:val="fr-FR"/>
                        </w:rPr>
                        <w:t xml:space="preserve"> de statistiques pertinentes (14.1,14.3)*</w:t>
                      </w:r>
                    </w:p>
                  </w:txbxContent>
                </v:textbox>
              </v:rect>
            </w:pict>
          </mc:Fallback>
        </mc:AlternateContent>
      </w:r>
    </w:p>
    <w:p w14:paraId="6F772FE5" w14:textId="4E546FA3" w:rsidR="00B630EF" w:rsidRPr="008268C4" w:rsidRDefault="001A5F74" w:rsidP="00B630EF">
      <w:pPr>
        <w:keepNext/>
        <w:keepLines/>
        <w:tabs>
          <w:tab w:val="num" w:pos="720"/>
        </w:tabs>
        <w:spacing w:line="240" w:lineRule="auto"/>
        <w:rPr>
          <w:rFonts w:asciiTheme="majorBidi" w:hAnsiTheme="majorBidi" w:cstheme="majorBidi"/>
          <w:color w:val="000000" w:themeColor="text1"/>
          <w:sz w:val="24"/>
          <w:szCs w:val="24"/>
          <w:lang w:val="fr-FR"/>
        </w:rPr>
      </w:pPr>
      <w:r w:rsidRPr="00896F81">
        <w:rPr>
          <w:rFonts w:asciiTheme="majorBidi" w:hAnsiTheme="majorBidi" w:cstheme="majorBidi"/>
          <w:b/>
          <w:bCs/>
          <w:noProof/>
          <w:lang w:val="fr-FR" w:eastAsia="fr-FR"/>
        </w:rPr>
        <mc:AlternateContent>
          <mc:Choice Requires="wps">
            <w:drawing>
              <wp:anchor distT="0" distB="0" distL="114300" distR="114300" simplePos="0" relativeHeight="251669504" behindDoc="0" locked="0" layoutInCell="1" allowOverlap="1" wp14:anchorId="54746069" wp14:editId="7381F839">
                <wp:simplePos x="0" y="0"/>
                <wp:positionH relativeFrom="page">
                  <wp:posOffset>6047890</wp:posOffset>
                </wp:positionH>
                <wp:positionV relativeFrom="paragraph">
                  <wp:posOffset>55726</wp:posOffset>
                </wp:positionV>
                <wp:extent cx="942975" cy="4010025"/>
                <wp:effectExtent l="0" t="0" r="28575" b="28575"/>
                <wp:wrapNone/>
                <wp:docPr id="2" name="Rectangle 14">
                  <a:extLst xmlns:a="http://schemas.openxmlformats.org/drawingml/2006/main">
                    <a:ext uri="{FF2B5EF4-FFF2-40B4-BE49-F238E27FC236}">
                      <a16:creationId xmlns:a16="http://schemas.microsoft.com/office/drawing/2014/main" id="{037764A1-1DCE-401B-4472-40F18B6FF5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4010025"/>
                        </a:xfrm>
                        <a:prstGeom prst="rect">
                          <a:avLst/>
                        </a:prstGeom>
                        <a:solidFill>
                          <a:schemeClr val="accent1">
                            <a:lumMod val="20000"/>
                            <a:lumOff val="80000"/>
                          </a:schemeClr>
                        </a:solidFill>
                        <a:ln w="12700">
                          <a:solidFill>
                            <a:schemeClr val="tx1"/>
                          </a:solidFill>
                          <a:miter lim="800000"/>
                          <a:headEnd/>
                          <a:tailEnd/>
                        </a:ln>
                        <a:effectLst/>
                      </wps:spPr>
                      <wps:txbx>
                        <w:txbxContent>
                          <w:p w14:paraId="6D247D62" w14:textId="77777777" w:rsidR="001A5F74" w:rsidRDefault="001A5F74" w:rsidP="00B630EF">
                            <w:pPr>
                              <w:jc w:val="center"/>
                              <w:rPr>
                                <w:i/>
                                <w:iCs/>
                                <w:color w:val="000000" w:themeColor="text1"/>
                                <w:kern w:val="24"/>
                              </w:rPr>
                            </w:pPr>
                          </w:p>
                          <w:p w14:paraId="2BEB1296" w14:textId="77777777" w:rsidR="001A5F74" w:rsidRDefault="001A5F74" w:rsidP="00B630EF">
                            <w:pPr>
                              <w:jc w:val="center"/>
                              <w:rPr>
                                <w:i/>
                                <w:iCs/>
                                <w:color w:val="000000" w:themeColor="text1"/>
                                <w:kern w:val="24"/>
                              </w:rPr>
                            </w:pPr>
                          </w:p>
                          <w:p w14:paraId="7434D33D" w14:textId="77777777" w:rsidR="001A5F74" w:rsidRDefault="001A5F74" w:rsidP="00B630EF">
                            <w:pPr>
                              <w:jc w:val="center"/>
                              <w:rPr>
                                <w:i/>
                                <w:iCs/>
                                <w:color w:val="000000" w:themeColor="text1"/>
                                <w:kern w:val="24"/>
                              </w:rPr>
                            </w:pPr>
                          </w:p>
                          <w:p w14:paraId="2998C7B1" w14:textId="77777777" w:rsidR="001A5F74" w:rsidRPr="007B53D7" w:rsidRDefault="001A5F74" w:rsidP="00B630EF">
                            <w:pPr>
                              <w:jc w:val="center"/>
                              <w:rPr>
                                <w:i/>
                                <w:iCs/>
                                <w:color w:val="000000" w:themeColor="text1"/>
                                <w:kern w:val="24"/>
                                <w:sz w:val="20"/>
                                <w:lang w:val="fr-FR"/>
                              </w:rPr>
                            </w:pPr>
                            <w:r w:rsidRPr="007B53D7">
                              <w:rPr>
                                <w:i/>
                                <w:iCs/>
                                <w:color w:val="000000" w:themeColor="text1"/>
                                <w:kern w:val="24"/>
                                <w:sz w:val="20"/>
                                <w:lang w:val="fr-FR"/>
                              </w:rPr>
                              <w:t>Considérations générales 2</w:t>
                            </w:r>
                          </w:p>
                          <w:p w14:paraId="6531A6F1" w14:textId="5ACD98FB" w:rsidR="001A5F74" w:rsidRPr="007B53D7" w:rsidRDefault="001A5F74" w:rsidP="00B630EF">
                            <w:pPr>
                              <w:jc w:val="center"/>
                              <w:rPr>
                                <w:b/>
                                <w:bCs/>
                                <w:color w:val="000000" w:themeColor="text1"/>
                                <w:kern w:val="24"/>
                                <w:sz w:val="20"/>
                                <w:lang w:val="fr-FR"/>
                              </w:rPr>
                            </w:pPr>
                            <w:r w:rsidRPr="007B53D7">
                              <w:rPr>
                                <w:b/>
                                <w:bCs/>
                                <w:color w:val="000000" w:themeColor="text1"/>
                                <w:kern w:val="24"/>
                                <w:sz w:val="20"/>
                                <w:lang w:val="fr-FR"/>
                              </w:rPr>
                              <w:t>Qualité</w:t>
                            </w:r>
                            <w:r>
                              <w:rPr>
                                <w:b/>
                                <w:bCs/>
                                <w:color w:val="000000" w:themeColor="text1"/>
                                <w:kern w:val="24"/>
                                <w:sz w:val="20"/>
                                <w:lang w:val="fr-FR"/>
                              </w:rPr>
                              <w:t xml:space="preserve"> </w:t>
                            </w:r>
                            <w:r w:rsidRPr="007B53D7">
                              <w:rPr>
                                <w:b/>
                                <w:bCs/>
                                <w:color w:val="000000" w:themeColor="text1"/>
                                <w:kern w:val="24"/>
                                <w:sz w:val="20"/>
                                <w:lang w:val="fr-FR"/>
                              </w:rPr>
                              <w:t xml:space="preserve">des données </w:t>
                            </w:r>
                            <w:r w:rsidR="00636ADB">
                              <w:rPr>
                                <w:b/>
                                <w:bCs/>
                                <w:color w:val="000000" w:themeColor="text1"/>
                                <w:kern w:val="24"/>
                                <w:sz w:val="20"/>
                                <w:lang w:val="fr-FR"/>
                              </w:rPr>
                              <w:t xml:space="preserve">de base </w:t>
                            </w:r>
                            <w:r w:rsidRPr="007B53D7">
                              <w:rPr>
                                <w:b/>
                                <w:bCs/>
                                <w:color w:val="000000" w:themeColor="text1"/>
                                <w:kern w:val="24"/>
                                <w:sz w:val="20"/>
                                <w:lang w:val="fr-FR"/>
                              </w:rPr>
                              <w:t xml:space="preserve">et </w:t>
                            </w:r>
                            <w:r w:rsidR="00636ADB">
                              <w:rPr>
                                <w:b/>
                                <w:bCs/>
                                <w:color w:val="000000" w:themeColor="text1"/>
                                <w:kern w:val="24"/>
                                <w:sz w:val="20"/>
                                <w:lang w:val="fr-FR"/>
                              </w:rPr>
                              <w:t xml:space="preserve">des </w:t>
                            </w:r>
                            <w:r w:rsidRPr="007B53D7">
                              <w:rPr>
                                <w:b/>
                                <w:bCs/>
                                <w:color w:val="000000" w:themeColor="text1"/>
                                <w:kern w:val="24"/>
                                <w:sz w:val="20"/>
                                <w:lang w:val="fr-FR"/>
                              </w:rPr>
                              <w:t>métadonnées</w:t>
                            </w:r>
                          </w:p>
                          <w:p w14:paraId="3CDE5CFE" w14:textId="77777777" w:rsidR="001A5F74" w:rsidRPr="003B6A0E" w:rsidRDefault="001A5F74" w:rsidP="00B630EF">
                            <w:pPr>
                              <w:jc w:val="center"/>
                              <w:rPr>
                                <w:color w:val="000000" w:themeColor="text1"/>
                                <w:kern w:val="24"/>
                                <w:sz w:val="20"/>
                                <w:lang w:val="fr-FR"/>
                              </w:rPr>
                            </w:pPr>
                            <w:r w:rsidRPr="003B6A0E">
                              <w:rPr>
                                <w:color w:val="000000" w:themeColor="text1"/>
                                <w:kern w:val="24"/>
                                <w:sz w:val="20"/>
                                <w:lang w:val="fr-FR"/>
                              </w:rPr>
                              <w:t>(2.7, 11.5,</w:t>
                            </w:r>
                          </w:p>
                          <w:p w14:paraId="39A25643" w14:textId="77777777" w:rsidR="001A5F74" w:rsidRDefault="001A5F74" w:rsidP="00B630EF">
                            <w:pPr>
                              <w:jc w:val="center"/>
                              <w:rPr>
                                <w:color w:val="000000" w:themeColor="text1"/>
                                <w:kern w:val="24"/>
                              </w:rPr>
                            </w:pPr>
                            <w:r w:rsidRPr="003B6A0E">
                              <w:rPr>
                                <w:color w:val="000000" w:themeColor="text1"/>
                                <w:kern w:val="24"/>
                                <w:sz w:val="20"/>
                                <w:lang w:val="fr-FR"/>
                              </w:rPr>
                              <w:t xml:space="preserve"> </w:t>
                            </w:r>
                            <w:r w:rsidRPr="009D29B4">
                              <w:rPr>
                                <w:color w:val="000000" w:themeColor="text1"/>
                                <w:kern w:val="24"/>
                                <w:sz w:val="20"/>
                              </w:rPr>
                              <w:t>12.3, 12.5)*</w:t>
                            </w:r>
                          </w:p>
                        </w:txbxContent>
                      </wps:txbx>
                      <wps:bodyPr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4746069" id="Rectangle 14" o:spid="_x0000_s1029" style="position:absolute;margin-left:476.2pt;margin-top:4.4pt;width:74.25pt;height:315.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" fillcolor="#d9e2f3 [660]" strokecolor="black [3213]" strokeweight="1pt">
                <v:textbox inset="0,0,0,0">
                  <w:txbxContent>
                    <w:p w14:paraId="6D247D62" w14:textId="77777777" w:rsidR="001A5F74" w:rsidRDefault="001A5F74" w:rsidP="00B630EF">
                      <w:pPr>
                        <w:jc w:val="center"/>
                        <w:rPr>
                          <w:i/>
                          <w:iCs/>
                          <w:color w:val="000000" w:themeColor="text1"/>
                          <w:kern w:val="24"/>
                        </w:rPr>
                      </w:pPr>
                    </w:p>
                    <w:p w14:paraId="2BEB1296" w14:textId="77777777" w:rsidR="001A5F74" w:rsidRDefault="001A5F74" w:rsidP="00B630EF">
                      <w:pPr>
                        <w:jc w:val="center"/>
                        <w:rPr>
                          <w:i/>
                          <w:iCs/>
                          <w:color w:val="000000" w:themeColor="text1"/>
                          <w:kern w:val="24"/>
                        </w:rPr>
                      </w:pPr>
                    </w:p>
                    <w:p w14:paraId="7434D33D" w14:textId="77777777" w:rsidR="001A5F74" w:rsidRDefault="001A5F74" w:rsidP="00B630EF">
                      <w:pPr>
                        <w:jc w:val="center"/>
                        <w:rPr>
                          <w:i/>
                          <w:iCs/>
                          <w:color w:val="000000" w:themeColor="text1"/>
                          <w:kern w:val="24"/>
                        </w:rPr>
                      </w:pPr>
                    </w:p>
                    <w:p w14:paraId="2998C7B1" w14:textId="77777777" w:rsidR="001A5F74" w:rsidRPr="007B53D7" w:rsidRDefault="001A5F74" w:rsidP="00B630EF">
                      <w:pPr>
                        <w:jc w:val="center"/>
                        <w:rPr>
                          <w:i/>
                          <w:iCs/>
                          <w:color w:val="000000" w:themeColor="text1"/>
                          <w:kern w:val="24"/>
                          <w:sz w:val="20"/>
                          <w:lang w:val="fr-FR"/>
                        </w:rPr>
                      </w:pPr>
                      <w:r w:rsidRPr="007B53D7">
                        <w:rPr>
                          <w:i/>
                          <w:iCs/>
                          <w:color w:val="000000" w:themeColor="text1"/>
                          <w:kern w:val="24"/>
                          <w:sz w:val="20"/>
                          <w:lang w:val="fr-FR"/>
                        </w:rPr>
                        <w:t>Considérations générales 2</w:t>
                      </w:r>
                    </w:p>
                    <w:p w14:paraId="6531A6F1" w14:textId="5ACD98FB" w:rsidR="001A5F74" w:rsidRPr="007B53D7" w:rsidRDefault="001A5F74" w:rsidP="00B630EF">
                      <w:pPr>
                        <w:jc w:val="center"/>
                        <w:rPr>
                          <w:b/>
                          <w:bCs/>
                          <w:color w:val="000000" w:themeColor="text1"/>
                          <w:kern w:val="24"/>
                          <w:sz w:val="20"/>
                          <w:lang w:val="fr-FR"/>
                        </w:rPr>
                      </w:pPr>
                      <w:r w:rsidRPr="007B53D7">
                        <w:rPr>
                          <w:b/>
                          <w:bCs/>
                          <w:color w:val="000000" w:themeColor="text1"/>
                          <w:kern w:val="24"/>
                          <w:sz w:val="20"/>
                          <w:lang w:val="fr-FR"/>
                        </w:rPr>
                        <w:t>Qualité</w:t>
                      </w:r>
                      <w:r>
                        <w:rPr>
                          <w:b/>
                          <w:bCs/>
                          <w:color w:val="000000" w:themeColor="text1"/>
                          <w:kern w:val="24"/>
                          <w:sz w:val="20"/>
                          <w:lang w:val="fr-FR"/>
                        </w:rPr>
                        <w:t xml:space="preserve"> </w:t>
                      </w:r>
                      <w:r w:rsidRPr="007B53D7">
                        <w:rPr>
                          <w:b/>
                          <w:bCs/>
                          <w:color w:val="000000" w:themeColor="text1"/>
                          <w:kern w:val="24"/>
                          <w:sz w:val="20"/>
                          <w:lang w:val="fr-FR"/>
                        </w:rPr>
                        <w:t xml:space="preserve">des données </w:t>
                      </w:r>
                      <w:r w:rsidR="00636ADB">
                        <w:rPr>
                          <w:b/>
                          <w:bCs/>
                          <w:color w:val="000000" w:themeColor="text1"/>
                          <w:kern w:val="24"/>
                          <w:sz w:val="20"/>
                          <w:lang w:val="fr-FR"/>
                        </w:rPr>
                        <w:t xml:space="preserve">de base </w:t>
                      </w:r>
                      <w:r w:rsidRPr="007B53D7">
                        <w:rPr>
                          <w:b/>
                          <w:bCs/>
                          <w:color w:val="000000" w:themeColor="text1"/>
                          <w:kern w:val="24"/>
                          <w:sz w:val="20"/>
                          <w:lang w:val="fr-FR"/>
                        </w:rPr>
                        <w:t xml:space="preserve">et </w:t>
                      </w:r>
                      <w:r w:rsidR="00636ADB">
                        <w:rPr>
                          <w:b/>
                          <w:bCs/>
                          <w:color w:val="000000" w:themeColor="text1"/>
                          <w:kern w:val="24"/>
                          <w:sz w:val="20"/>
                          <w:lang w:val="fr-FR"/>
                        </w:rPr>
                        <w:t xml:space="preserve">des </w:t>
                      </w:r>
                      <w:r w:rsidRPr="007B53D7">
                        <w:rPr>
                          <w:b/>
                          <w:bCs/>
                          <w:color w:val="000000" w:themeColor="text1"/>
                          <w:kern w:val="24"/>
                          <w:sz w:val="20"/>
                          <w:lang w:val="fr-FR"/>
                        </w:rPr>
                        <w:t>métadonnées</w:t>
                      </w:r>
                    </w:p>
                    <w:p w14:paraId="3CDE5CFE" w14:textId="77777777" w:rsidR="001A5F74" w:rsidRPr="003B6A0E" w:rsidRDefault="001A5F74" w:rsidP="00B630EF">
                      <w:pPr>
                        <w:jc w:val="center"/>
                        <w:rPr>
                          <w:color w:val="000000" w:themeColor="text1"/>
                          <w:kern w:val="24"/>
                          <w:sz w:val="20"/>
                          <w:lang w:val="fr-FR"/>
                        </w:rPr>
                      </w:pPr>
                      <w:r w:rsidRPr="003B6A0E">
                        <w:rPr>
                          <w:color w:val="000000" w:themeColor="text1"/>
                          <w:kern w:val="24"/>
                          <w:sz w:val="20"/>
                          <w:lang w:val="fr-FR"/>
                        </w:rPr>
                        <w:t>(2.7, 11.5,</w:t>
                      </w:r>
                    </w:p>
                    <w:p w14:paraId="39A25643" w14:textId="77777777" w:rsidR="001A5F74" w:rsidRDefault="001A5F74" w:rsidP="00B630EF">
                      <w:pPr>
                        <w:jc w:val="center"/>
                        <w:rPr>
                          <w:color w:val="000000" w:themeColor="text1"/>
                          <w:kern w:val="24"/>
                        </w:rPr>
                      </w:pPr>
                      <w:r w:rsidRPr="003B6A0E">
                        <w:rPr>
                          <w:color w:val="000000" w:themeColor="text1"/>
                          <w:kern w:val="24"/>
                          <w:sz w:val="20"/>
                          <w:lang w:val="fr-FR"/>
                        </w:rPr>
                        <w:t xml:space="preserve"> </w:t>
                      </w:r>
                      <w:r w:rsidRPr="009D29B4">
                        <w:rPr>
                          <w:color w:val="000000" w:themeColor="text1"/>
                          <w:kern w:val="24"/>
                          <w:sz w:val="20"/>
                        </w:rPr>
                        <w:t>12.3, 12.5)*</w:t>
                      </w:r>
                    </w:p>
                  </w:txbxContent>
                </v:textbox>
                <w10:wrap anchorx="page"/>
              </v:rect>
            </w:pict>
          </mc:Fallback>
        </mc:AlternateContent>
      </w:r>
      <w:r w:rsidR="00B630EF" w:rsidRPr="00896F81">
        <w:rPr>
          <w:rFonts w:asciiTheme="majorBidi" w:hAnsiTheme="majorBidi" w:cstheme="majorBidi"/>
          <w:noProof/>
          <w:color w:val="000000" w:themeColor="text1"/>
          <w:sz w:val="24"/>
          <w:szCs w:val="24"/>
          <w:lang w:val="fr-FR" w:eastAsia="fr-FR"/>
        </w:rPr>
        <mc:AlternateContent>
          <mc:Choice Requires="wps">
            <w:drawing>
              <wp:anchor distT="0" distB="0" distL="114300" distR="114300" simplePos="0" relativeHeight="251662336" behindDoc="0" locked="0" layoutInCell="1" allowOverlap="1" wp14:anchorId="0E1A28E7" wp14:editId="1085387B">
                <wp:simplePos x="0" y="0"/>
                <wp:positionH relativeFrom="column">
                  <wp:posOffset>4829175</wp:posOffset>
                </wp:positionH>
                <wp:positionV relativeFrom="paragraph">
                  <wp:posOffset>222250</wp:posOffset>
                </wp:positionV>
                <wp:extent cx="266700" cy="180975"/>
                <wp:effectExtent l="19050" t="19050" r="19050" b="47625"/>
                <wp:wrapNone/>
                <wp:docPr id="26" name="Pil: høyre 25">
                  <a:extLst xmlns:a="http://schemas.openxmlformats.org/drawingml/2006/main">
                    <a:ext uri="{FF2B5EF4-FFF2-40B4-BE49-F238E27FC236}">
                      <a16:creationId xmlns:a16="http://schemas.microsoft.com/office/drawing/2014/main" id="{9C56D8D4-DA0F-4FC2-BDF2-74E27087FDDE}"/>
                    </a:ext>
                  </a:extLst>
                </wp:docPr>
                <wp:cNvGraphicFramePr/>
                <a:graphic xmlns:a="http://schemas.openxmlformats.org/drawingml/2006/main">
                  <a:graphicData uri="http://schemas.microsoft.com/office/word/2010/wordprocessingShape">
                    <wps:wsp>
                      <wps:cNvSpPr/>
                      <wps:spPr>
                        <a:xfrm rot="10800000">
                          <a:off x="0" y="0"/>
                          <a:ext cx="266700" cy="1809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1FAA2E0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l: høyre 25" o:spid="_x0000_s1026" type="#_x0000_t13" style="position:absolute;margin-left:380.25pt;margin-top:17.5pt;width:21pt;height:14.2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" adj="14271" fillcolor="#4472c4 [3204]" strokecolor="#1f3763 [1604]" strokeweight="1pt"/>
            </w:pict>
          </mc:Fallback>
        </mc:AlternateContent>
      </w:r>
      <w:r w:rsidR="00B630EF">
        <w:rPr>
          <w:rFonts w:asciiTheme="majorBidi" w:hAnsiTheme="majorBidi" w:cstheme="majorBidi"/>
          <w:noProof/>
          <w:color w:val="000000" w:themeColor="text1"/>
          <w:sz w:val="24"/>
          <w:szCs w:val="24"/>
          <w:lang w:val="fr-FR" w:eastAsia="fr-FR"/>
        </w:rPr>
        <mc:AlternateContent>
          <mc:Choice Requires="wps">
            <w:drawing>
              <wp:anchor distT="0" distB="0" distL="114300" distR="114300" simplePos="0" relativeHeight="251672576" behindDoc="0" locked="0" layoutInCell="1" allowOverlap="1" wp14:anchorId="3AF3AE68" wp14:editId="3176AC71">
                <wp:simplePos x="0" y="0"/>
                <wp:positionH relativeFrom="column">
                  <wp:posOffset>647700</wp:posOffset>
                </wp:positionH>
                <wp:positionV relativeFrom="paragraph">
                  <wp:posOffset>146685</wp:posOffset>
                </wp:positionV>
                <wp:extent cx="257175" cy="180975"/>
                <wp:effectExtent l="0" t="19050" r="47625" b="47625"/>
                <wp:wrapNone/>
                <wp:docPr id="1074388439" name="Arrow: Right 1"/>
                <wp:cNvGraphicFramePr/>
                <a:graphic xmlns:a="http://schemas.openxmlformats.org/drawingml/2006/main">
                  <a:graphicData uri="http://schemas.microsoft.com/office/word/2010/wordprocessingShape">
                    <wps:wsp>
                      <wps:cNvSpPr/>
                      <wps:spPr>
                        <a:xfrm>
                          <a:off x="0" y="0"/>
                          <a:ext cx="257175" cy="18097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C4084" id="Arrow: Right 1" o:spid="_x0000_s1026" type="#_x0000_t13" style="position:absolute;margin-left:51pt;margin-top:11.55pt;width:20.2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" adj="14000" fillcolor="#4472c4 [3204]" strokecolor="#09101d [484]" strokeweight="1pt"/>
            </w:pict>
          </mc:Fallback>
        </mc:AlternateContent>
      </w:r>
    </w:p>
    <w:p w14:paraId="4A754C1E" w14:textId="232C49CB" w:rsidR="00B630EF" w:rsidRPr="008268C4" w:rsidRDefault="00B630EF" w:rsidP="00B630EF">
      <w:pPr>
        <w:keepNext/>
        <w:keepLines/>
        <w:tabs>
          <w:tab w:val="num" w:pos="720"/>
        </w:tabs>
        <w:spacing w:line="240" w:lineRule="auto"/>
        <w:rPr>
          <w:rFonts w:asciiTheme="majorBidi" w:hAnsiTheme="majorBidi" w:cstheme="majorBidi"/>
          <w:color w:val="000000" w:themeColor="text1"/>
          <w:sz w:val="24"/>
          <w:szCs w:val="24"/>
          <w:lang w:val="fr-FR"/>
        </w:rPr>
      </w:pPr>
      <w:r w:rsidRPr="008268C4">
        <w:rPr>
          <w:rFonts w:asciiTheme="majorBidi" w:hAnsiTheme="majorBidi" w:cstheme="majorBidi"/>
          <w:color w:val="000000" w:themeColor="text1"/>
          <w:sz w:val="24"/>
          <w:szCs w:val="24"/>
          <w:lang w:val="fr-FR"/>
        </w:rPr>
        <w:t xml:space="preserve">             </w:t>
      </w:r>
    </w:p>
    <w:p w14:paraId="10F5F258" w14:textId="5020FEEE" w:rsidR="00B630EF" w:rsidRPr="008268C4" w:rsidRDefault="00B630EF" w:rsidP="00B630EF">
      <w:pPr>
        <w:rPr>
          <w:rFonts w:asciiTheme="majorBidi" w:hAnsiTheme="majorBidi" w:cstheme="majorBidi"/>
          <w:b/>
          <w:bCs/>
          <w:lang w:val="fr-FR"/>
        </w:rPr>
      </w:pPr>
      <w:r w:rsidRPr="00896F81">
        <w:rPr>
          <w:rFonts w:asciiTheme="majorBidi" w:hAnsiTheme="majorBidi" w:cstheme="majorBidi"/>
          <w:noProof/>
          <w:color w:val="000000" w:themeColor="text1"/>
          <w:sz w:val="24"/>
          <w:szCs w:val="24"/>
          <w:lang w:val="fr-FR" w:eastAsia="fr-FR"/>
        </w:rPr>
        <mc:AlternateContent>
          <mc:Choice Requires="wps">
            <w:drawing>
              <wp:anchor distT="0" distB="0" distL="114300" distR="114300" simplePos="0" relativeHeight="251661312" behindDoc="0" locked="0" layoutInCell="1" allowOverlap="1" wp14:anchorId="30C22AAB" wp14:editId="23EB9DC4">
                <wp:simplePos x="0" y="0"/>
                <wp:positionH relativeFrom="margin">
                  <wp:posOffset>962025</wp:posOffset>
                </wp:positionH>
                <wp:positionV relativeFrom="paragraph">
                  <wp:posOffset>492124</wp:posOffset>
                </wp:positionV>
                <wp:extent cx="3848100" cy="1400175"/>
                <wp:effectExtent l="0" t="0" r="19050" b="28575"/>
                <wp:wrapNone/>
                <wp:docPr id="519060310" name="Rektangel 12"/>
                <wp:cNvGraphicFramePr/>
                <a:graphic xmlns:a="http://schemas.openxmlformats.org/drawingml/2006/main">
                  <a:graphicData uri="http://schemas.microsoft.com/office/word/2010/wordprocessingShape">
                    <wps:wsp>
                      <wps:cNvSpPr/>
                      <wps:spPr>
                        <a:xfrm>
                          <a:off x="0" y="0"/>
                          <a:ext cx="3848100" cy="140017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0D666D" w14:textId="2275151C" w:rsidR="001A5F74" w:rsidRPr="004825E4" w:rsidRDefault="001A5F74" w:rsidP="00B630EF">
                            <w:pPr>
                              <w:rPr>
                                <w:b/>
                                <w:bCs/>
                                <w:i/>
                                <w:iCs/>
                                <w:color w:val="000000" w:themeColor="text1"/>
                                <w:kern w:val="24"/>
                                <w:lang w:val="fr-FR"/>
                              </w:rPr>
                            </w:pPr>
                            <w:r w:rsidRPr="00AA3C5F">
                              <w:rPr>
                                <w:b/>
                                <w:bCs/>
                                <w:i/>
                                <w:iCs/>
                                <w:color w:val="000000" w:themeColor="text1"/>
                                <w:kern w:val="24"/>
                                <w:lang w:val="fr-FR"/>
                              </w:rPr>
                              <w:t xml:space="preserve">Action </w:t>
                            </w:r>
                            <w:r>
                              <w:rPr>
                                <w:b/>
                                <w:bCs/>
                                <w:i/>
                                <w:iCs/>
                                <w:color w:val="000000" w:themeColor="text1"/>
                                <w:kern w:val="24"/>
                                <w:lang w:val="fr-FR"/>
                              </w:rPr>
                              <w:t>2</w:t>
                            </w:r>
                            <w:r w:rsidRPr="00AA3C5F">
                              <w:rPr>
                                <w:b/>
                                <w:bCs/>
                                <w:i/>
                                <w:iCs/>
                                <w:color w:val="000000" w:themeColor="text1"/>
                                <w:kern w:val="24"/>
                                <w:lang w:val="fr-FR"/>
                              </w:rPr>
                              <w:t xml:space="preserve">. </w:t>
                            </w:r>
                            <w:r w:rsidRPr="004825E4">
                              <w:rPr>
                                <w:b/>
                                <w:bCs/>
                                <w:i/>
                                <w:iCs/>
                                <w:color w:val="000000" w:themeColor="text1"/>
                                <w:kern w:val="24"/>
                                <w:lang w:val="fr-FR"/>
                              </w:rPr>
                              <w:t>Coopération avec les fournisseurs de données</w:t>
                            </w:r>
                            <w:r w:rsidR="00636ADB">
                              <w:rPr>
                                <w:b/>
                                <w:bCs/>
                                <w:i/>
                                <w:iCs/>
                                <w:color w:val="000000" w:themeColor="text1"/>
                                <w:kern w:val="24"/>
                                <w:lang w:val="fr-FR"/>
                              </w:rPr>
                              <w:t xml:space="preserve"> </w:t>
                            </w:r>
                            <w:r w:rsidRPr="00795CC5">
                              <w:rPr>
                                <w:b/>
                                <w:bCs/>
                                <w:i/>
                                <w:iCs/>
                                <w:color w:val="000000" w:themeColor="text1"/>
                                <w:kern w:val="24"/>
                                <w:lang w:val="fr-FR"/>
                              </w:rPr>
                              <w:t>(</w:t>
                            </w:r>
                            <w:r>
                              <w:rPr>
                                <w:b/>
                                <w:bCs/>
                                <w:i/>
                                <w:iCs/>
                                <w:color w:val="000000" w:themeColor="text1"/>
                                <w:kern w:val="24"/>
                                <w:lang w:val="fr-FR"/>
                              </w:rPr>
                              <w:t>2.5</w:t>
                            </w:r>
                            <w:r w:rsidRPr="00795CC5">
                              <w:rPr>
                                <w:b/>
                                <w:bCs/>
                                <w:i/>
                                <w:iCs/>
                                <w:color w:val="000000" w:themeColor="text1"/>
                                <w:kern w:val="24"/>
                                <w:lang w:val="fr-FR"/>
                              </w:rPr>
                              <w:t xml:space="preserve">, </w:t>
                            </w:r>
                            <w:r>
                              <w:rPr>
                                <w:b/>
                                <w:bCs/>
                                <w:i/>
                                <w:iCs/>
                                <w:color w:val="000000" w:themeColor="text1"/>
                                <w:kern w:val="24"/>
                                <w:lang w:val="fr-FR"/>
                              </w:rPr>
                              <w:t>2.6</w:t>
                            </w:r>
                            <w:r w:rsidRPr="00795CC5">
                              <w:rPr>
                                <w:b/>
                                <w:bCs/>
                                <w:i/>
                                <w:iCs/>
                                <w:color w:val="000000" w:themeColor="text1"/>
                                <w:kern w:val="24"/>
                                <w:lang w:val="fr-FR"/>
                              </w:rPr>
                              <w:t xml:space="preserve">, </w:t>
                            </w:r>
                            <w:r>
                              <w:rPr>
                                <w:b/>
                                <w:bCs/>
                                <w:i/>
                                <w:iCs/>
                                <w:color w:val="000000" w:themeColor="text1"/>
                                <w:kern w:val="24"/>
                                <w:lang w:val="fr-FR"/>
                              </w:rPr>
                              <w:t>2.7</w:t>
                            </w:r>
                            <w:r w:rsidRPr="00795CC5">
                              <w:rPr>
                                <w:b/>
                                <w:bCs/>
                                <w:i/>
                                <w:iCs/>
                                <w:color w:val="000000" w:themeColor="text1"/>
                                <w:kern w:val="24"/>
                                <w:lang w:val="fr-FR"/>
                              </w:rPr>
                              <w:t xml:space="preserve">, </w:t>
                            </w:r>
                            <w:r>
                              <w:rPr>
                                <w:b/>
                                <w:bCs/>
                                <w:i/>
                                <w:iCs/>
                                <w:color w:val="000000" w:themeColor="text1"/>
                                <w:kern w:val="24"/>
                                <w:lang w:val="fr-FR"/>
                              </w:rPr>
                              <w:t>3.2</w:t>
                            </w:r>
                            <w:r w:rsidRPr="00795CC5">
                              <w:rPr>
                                <w:b/>
                                <w:bCs/>
                                <w:i/>
                                <w:iCs/>
                                <w:color w:val="000000" w:themeColor="text1"/>
                                <w:kern w:val="24"/>
                                <w:lang w:val="fr-FR"/>
                              </w:rPr>
                              <w:t xml:space="preserve">, </w:t>
                            </w:r>
                            <w:r>
                              <w:rPr>
                                <w:b/>
                                <w:bCs/>
                                <w:i/>
                                <w:iCs/>
                                <w:color w:val="000000" w:themeColor="text1"/>
                                <w:kern w:val="24"/>
                                <w:lang w:val="fr-FR"/>
                              </w:rPr>
                              <w:t>7.5</w:t>
                            </w:r>
                            <w:r w:rsidRPr="00795CC5">
                              <w:rPr>
                                <w:b/>
                                <w:bCs/>
                                <w:i/>
                                <w:iCs/>
                                <w:color w:val="000000" w:themeColor="text1"/>
                                <w:kern w:val="24"/>
                                <w:lang w:val="fr-FR"/>
                              </w:rPr>
                              <w:t>, 1</w:t>
                            </w:r>
                            <w:r>
                              <w:rPr>
                                <w:b/>
                                <w:bCs/>
                                <w:i/>
                                <w:iCs/>
                                <w:color w:val="000000" w:themeColor="text1"/>
                                <w:kern w:val="24"/>
                                <w:lang w:val="fr-FR"/>
                              </w:rPr>
                              <w:t>0.3</w:t>
                            </w:r>
                            <w:r w:rsidRPr="00795CC5">
                              <w:rPr>
                                <w:b/>
                                <w:bCs/>
                                <w:i/>
                                <w:iCs/>
                                <w:color w:val="000000" w:themeColor="text1"/>
                                <w:kern w:val="24"/>
                                <w:lang w:val="fr-FR"/>
                              </w:rPr>
                              <w:t>, 11.5</w:t>
                            </w:r>
                            <w:r>
                              <w:rPr>
                                <w:b/>
                                <w:bCs/>
                                <w:i/>
                                <w:iCs/>
                                <w:color w:val="000000" w:themeColor="text1"/>
                                <w:kern w:val="24"/>
                                <w:lang w:val="fr-FR"/>
                              </w:rPr>
                              <w:t>,16.2</w:t>
                            </w:r>
                            <w:r w:rsidRPr="00795CC5">
                              <w:rPr>
                                <w:b/>
                                <w:bCs/>
                                <w:i/>
                                <w:iCs/>
                                <w:color w:val="000000" w:themeColor="text1"/>
                                <w:kern w:val="24"/>
                                <w:lang w:val="fr-FR"/>
                              </w:rPr>
                              <w:t>)*</w:t>
                            </w:r>
                          </w:p>
                          <w:p w14:paraId="261F3293" w14:textId="77777777" w:rsidR="001A5F74" w:rsidRPr="00B7306B" w:rsidRDefault="001A5F74" w:rsidP="00B630EF">
                            <w:pPr>
                              <w:pStyle w:val="ListParagraph"/>
                              <w:numPr>
                                <w:ilvl w:val="0"/>
                                <w:numId w:val="43"/>
                              </w:numPr>
                              <w:rPr>
                                <w:b/>
                                <w:bCs/>
                                <w:color w:val="000000" w:themeColor="text1"/>
                                <w:kern w:val="24"/>
                                <w:sz w:val="20"/>
                              </w:rPr>
                            </w:pPr>
                            <w:r w:rsidRPr="00B7306B">
                              <w:rPr>
                                <w:b/>
                                <w:bCs/>
                                <w:color w:val="000000" w:themeColor="text1"/>
                                <w:kern w:val="24"/>
                                <w:sz w:val="20"/>
                                <w:lang w:val="fr-FR"/>
                              </w:rPr>
                              <w:t>Accord de coopération</w:t>
                            </w:r>
                          </w:p>
                          <w:p w14:paraId="15E3F61D" w14:textId="77777777" w:rsidR="001A5F74" w:rsidRPr="0030777C" w:rsidRDefault="001A5F74" w:rsidP="00B630EF">
                            <w:pPr>
                              <w:pStyle w:val="ListParagraph"/>
                              <w:numPr>
                                <w:ilvl w:val="0"/>
                                <w:numId w:val="43"/>
                              </w:numPr>
                              <w:rPr>
                                <w:b/>
                                <w:bCs/>
                                <w:color w:val="000000" w:themeColor="text1"/>
                                <w:kern w:val="24"/>
                                <w:sz w:val="20"/>
                                <w:lang w:val="fr-FR"/>
                              </w:rPr>
                            </w:pPr>
                            <w:r w:rsidRPr="0030777C">
                              <w:rPr>
                                <w:b/>
                                <w:bCs/>
                                <w:color w:val="000000" w:themeColor="text1"/>
                                <w:kern w:val="24"/>
                                <w:sz w:val="20"/>
                                <w:lang w:val="fr-FR"/>
                              </w:rPr>
                              <w:t>Rapport qualité et renforcement des capacités</w:t>
                            </w:r>
                          </w:p>
                          <w:p w14:paraId="65657FAA" w14:textId="7B461615" w:rsidR="001A5F74" w:rsidRPr="00F0710F" w:rsidRDefault="001A5F74" w:rsidP="00B630EF">
                            <w:pPr>
                              <w:pStyle w:val="ListParagraph"/>
                              <w:numPr>
                                <w:ilvl w:val="0"/>
                                <w:numId w:val="43"/>
                              </w:numPr>
                              <w:rPr>
                                <w:b/>
                                <w:bCs/>
                                <w:color w:val="000000" w:themeColor="text1"/>
                                <w:kern w:val="24"/>
                                <w:sz w:val="20"/>
                                <w:lang w:val="fr-FR"/>
                              </w:rPr>
                            </w:pPr>
                            <w:r>
                              <w:rPr>
                                <w:b/>
                                <w:bCs/>
                                <w:color w:val="000000" w:themeColor="text1"/>
                                <w:kern w:val="24"/>
                                <w:sz w:val="20"/>
                                <w:lang w:val="fr-FR"/>
                              </w:rPr>
                              <w:t>Orientation</w:t>
                            </w:r>
                            <w:r w:rsidRPr="00F0710F">
                              <w:rPr>
                                <w:b/>
                                <w:bCs/>
                                <w:color w:val="000000" w:themeColor="text1"/>
                                <w:kern w:val="24"/>
                                <w:sz w:val="20"/>
                                <w:lang w:val="fr-FR"/>
                              </w:rPr>
                              <w:t xml:space="preserve"> sur le développement d</w:t>
                            </w:r>
                            <w:r w:rsidR="00636ADB">
                              <w:rPr>
                                <w:b/>
                                <w:bCs/>
                                <w:color w:val="000000" w:themeColor="text1"/>
                                <w:kern w:val="24"/>
                                <w:sz w:val="20"/>
                                <w:lang w:val="fr-FR"/>
                              </w:rPr>
                              <w:t>es jeu</w:t>
                            </w:r>
                            <w:r w:rsidRPr="00F0710F">
                              <w:rPr>
                                <w:b/>
                                <w:bCs/>
                                <w:color w:val="000000" w:themeColor="text1"/>
                                <w:kern w:val="24"/>
                                <w:sz w:val="20"/>
                                <w:lang w:val="fr-FR"/>
                              </w:rPr>
                              <w:t xml:space="preserve"> de données administratives</w:t>
                            </w:r>
                          </w:p>
                          <w:p w14:paraId="01DF8164" w14:textId="39657147" w:rsidR="001A5F74" w:rsidRPr="00AC6511" w:rsidRDefault="001A5F74" w:rsidP="00B630EF">
                            <w:pPr>
                              <w:pStyle w:val="ListParagraph"/>
                              <w:numPr>
                                <w:ilvl w:val="0"/>
                                <w:numId w:val="43"/>
                              </w:numPr>
                              <w:rPr>
                                <w:b/>
                                <w:bCs/>
                                <w:color w:val="000000" w:themeColor="text1"/>
                                <w:kern w:val="24"/>
                                <w:sz w:val="20"/>
                                <w:lang w:val="fr-FR"/>
                              </w:rPr>
                            </w:pPr>
                            <w:r>
                              <w:rPr>
                                <w:b/>
                                <w:bCs/>
                                <w:color w:val="000000" w:themeColor="text1"/>
                                <w:kern w:val="24"/>
                                <w:sz w:val="20"/>
                                <w:lang w:val="fr-FR"/>
                              </w:rPr>
                              <w:t>Orientation</w:t>
                            </w:r>
                            <w:r w:rsidRPr="00AC6511">
                              <w:rPr>
                                <w:b/>
                                <w:bCs/>
                                <w:color w:val="000000" w:themeColor="text1"/>
                                <w:kern w:val="24"/>
                                <w:sz w:val="20"/>
                                <w:lang w:val="fr-FR"/>
                              </w:rPr>
                              <w:t xml:space="preserve"> sur les normes et classifications statistiques, </w:t>
                            </w:r>
                            <w:r>
                              <w:rPr>
                                <w:b/>
                                <w:bCs/>
                                <w:color w:val="000000" w:themeColor="text1"/>
                                <w:kern w:val="24"/>
                                <w:sz w:val="20"/>
                                <w:lang w:val="fr-FR"/>
                              </w:rPr>
                              <w:t>notamment les</w:t>
                            </w:r>
                            <w:r w:rsidRPr="00AC6511">
                              <w:rPr>
                                <w:b/>
                                <w:bCs/>
                                <w:color w:val="000000" w:themeColor="text1"/>
                                <w:kern w:val="24"/>
                                <w:sz w:val="20"/>
                                <w:lang w:val="fr-FR"/>
                              </w:rPr>
                              <w:t xml:space="preserve"> mises à jour</w:t>
                            </w:r>
                          </w:p>
                          <w:p w14:paraId="76738AA1" w14:textId="77777777" w:rsidR="001A5F74" w:rsidRPr="00795CC5" w:rsidRDefault="001A5F74" w:rsidP="00B630EF">
                            <w:pPr>
                              <w:pStyle w:val="ListParagraph"/>
                              <w:numPr>
                                <w:ilvl w:val="0"/>
                                <w:numId w:val="43"/>
                              </w:numPr>
                              <w:rPr>
                                <w:b/>
                                <w:bCs/>
                                <w:color w:val="000000" w:themeColor="text1"/>
                                <w:kern w:val="24"/>
                                <w:sz w:val="20"/>
                                <w:lang w:val="fr-FR"/>
                              </w:rPr>
                            </w:pPr>
                          </w:p>
                        </w:txbxContent>
                      </wps:txbx>
                      <wps:bodyPr wrap="square" lIns="9144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0C22AAB" id="_x0000_s1030" style="position:absolute;margin-left:75.75pt;margin-top:38.75pt;width:303pt;height:11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" fillcolor="#d9e2f3 [660]" strokecolor="#1f3763 [1604]" strokeweight="1pt">
                <v:textbox inset=",0,0,0">
                  <w:txbxContent>
                    <w:p w14:paraId="1D0D666D" w14:textId="2275151C" w:rsidR="001A5F74" w:rsidRPr="004825E4" w:rsidRDefault="001A5F74" w:rsidP="00B630EF">
                      <w:pPr>
                        <w:rPr>
                          <w:b/>
                          <w:bCs/>
                          <w:i/>
                          <w:iCs/>
                          <w:color w:val="000000" w:themeColor="text1"/>
                          <w:kern w:val="24"/>
                          <w:lang w:val="fr-FR"/>
                        </w:rPr>
                      </w:pPr>
                      <w:r w:rsidRPr="00AA3C5F">
                        <w:rPr>
                          <w:b/>
                          <w:bCs/>
                          <w:i/>
                          <w:iCs/>
                          <w:color w:val="000000" w:themeColor="text1"/>
                          <w:kern w:val="24"/>
                          <w:lang w:val="fr-FR"/>
                        </w:rPr>
                        <w:t xml:space="preserve">Action </w:t>
                      </w:r>
                      <w:r>
                        <w:rPr>
                          <w:b/>
                          <w:bCs/>
                          <w:i/>
                          <w:iCs/>
                          <w:color w:val="000000" w:themeColor="text1"/>
                          <w:kern w:val="24"/>
                          <w:lang w:val="fr-FR"/>
                        </w:rPr>
                        <w:t>2</w:t>
                      </w:r>
                      <w:r w:rsidRPr="00AA3C5F">
                        <w:rPr>
                          <w:b/>
                          <w:bCs/>
                          <w:i/>
                          <w:iCs/>
                          <w:color w:val="000000" w:themeColor="text1"/>
                          <w:kern w:val="24"/>
                          <w:lang w:val="fr-FR"/>
                        </w:rPr>
                        <w:t xml:space="preserve">. </w:t>
                      </w:r>
                      <w:r w:rsidRPr="004825E4">
                        <w:rPr>
                          <w:b/>
                          <w:bCs/>
                          <w:i/>
                          <w:iCs/>
                          <w:color w:val="000000" w:themeColor="text1"/>
                          <w:kern w:val="24"/>
                          <w:lang w:val="fr-FR"/>
                        </w:rPr>
                        <w:t>Coopération avec les fournisseurs de données</w:t>
                      </w:r>
                      <w:r w:rsidR="00636ADB">
                        <w:rPr>
                          <w:b/>
                          <w:bCs/>
                          <w:i/>
                          <w:iCs/>
                          <w:color w:val="000000" w:themeColor="text1"/>
                          <w:kern w:val="24"/>
                          <w:lang w:val="fr-FR"/>
                        </w:rPr>
                        <w:t xml:space="preserve"> </w:t>
                      </w:r>
                      <w:r w:rsidRPr="00795CC5">
                        <w:rPr>
                          <w:b/>
                          <w:bCs/>
                          <w:i/>
                          <w:iCs/>
                          <w:color w:val="000000" w:themeColor="text1"/>
                          <w:kern w:val="24"/>
                          <w:lang w:val="fr-FR"/>
                        </w:rPr>
                        <w:t>(</w:t>
                      </w:r>
                      <w:r>
                        <w:rPr>
                          <w:b/>
                          <w:bCs/>
                          <w:i/>
                          <w:iCs/>
                          <w:color w:val="000000" w:themeColor="text1"/>
                          <w:kern w:val="24"/>
                          <w:lang w:val="fr-FR"/>
                        </w:rPr>
                        <w:t>2.5</w:t>
                      </w:r>
                      <w:r w:rsidRPr="00795CC5">
                        <w:rPr>
                          <w:b/>
                          <w:bCs/>
                          <w:i/>
                          <w:iCs/>
                          <w:color w:val="000000" w:themeColor="text1"/>
                          <w:kern w:val="24"/>
                          <w:lang w:val="fr-FR"/>
                        </w:rPr>
                        <w:t xml:space="preserve">, </w:t>
                      </w:r>
                      <w:r>
                        <w:rPr>
                          <w:b/>
                          <w:bCs/>
                          <w:i/>
                          <w:iCs/>
                          <w:color w:val="000000" w:themeColor="text1"/>
                          <w:kern w:val="24"/>
                          <w:lang w:val="fr-FR"/>
                        </w:rPr>
                        <w:t>2.6</w:t>
                      </w:r>
                      <w:r w:rsidRPr="00795CC5">
                        <w:rPr>
                          <w:b/>
                          <w:bCs/>
                          <w:i/>
                          <w:iCs/>
                          <w:color w:val="000000" w:themeColor="text1"/>
                          <w:kern w:val="24"/>
                          <w:lang w:val="fr-FR"/>
                        </w:rPr>
                        <w:t xml:space="preserve">, </w:t>
                      </w:r>
                      <w:r>
                        <w:rPr>
                          <w:b/>
                          <w:bCs/>
                          <w:i/>
                          <w:iCs/>
                          <w:color w:val="000000" w:themeColor="text1"/>
                          <w:kern w:val="24"/>
                          <w:lang w:val="fr-FR"/>
                        </w:rPr>
                        <w:t>2.7</w:t>
                      </w:r>
                      <w:r w:rsidRPr="00795CC5">
                        <w:rPr>
                          <w:b/>
                          <w:bCs/>
                          <w:i/>
                          <w:iCs/>
                          <w:color w:val="000000" w:themeColor="text1"/>
                          <w:kern w:val="24"/>
                          <w:lang w:val="fr-FR"/>
                        </w:rPr>
                        <w:t xml:space="preserve">, </w:t>
                      </w:r>
                      <w:r>
                        <w:rPr>
                          <w:b/>
                          <w:bCs/>
                          <w:i/>
                          <w:iCs/>
                          <w:color w:val="000000" w:themeColor="text1"/>
                          <w:kern w:val="24"/>
                          <w:lang w:val="fr-FR"/>
                        </w:rPr>
                        <w:t>3.2</w:t>
                      </w:r>
                      <w:r w:rsidRPr="00795CC5">
                        <w:rPr>
                          <w:b/>
                          <w:bCs/>
                          <w:i/>
                          <w:iCs/>
                          <w:color w:val="000000" w:themeColor="text1"/>
                          <w:kern w:val="24"/>
                          <w:lang w:val="fr-FR"/>
                        </w:rPr>
                        <w:t xml:space="preserve">, </w:t>
                      </w:r>
                      <w:r>
                        <w:rPr>
                          <w:b/>
                          <w:bCs/>
                          <w:i/>
                          <w:iCs/>
                          <w:color w:val="000000" w:themeColor="text1"/>
                          <w:kern w:val="24"/>
                          <w:lang w:val="fr-FR"/>
                        </w:rPr>
                        <w:t>7.5</w:t>
                      </w:r>
                      <w:r w:rsidRPr="00795CC5">
                        <w:rPr>
                          <w:b/>
                          <w:bCs/>
                          <w:i/>
                          <w:iCs/>
                          <w:color w:val="000000" w:themeColor="text1"/>
                          <w:kern w:val="24"/>
                          <w:lang w:val="fr-FR"/>
                        </w:rPr>
                        <w:t>, 1</w:t>
                      </w:r>
                      <w:r>
                        <w:rPr>
                          <w:b/>
                          <w:bCs/>
                          <w:i/>
                          <w:iCs/>
                          <w:color w:val="000000" w:themeColor="text1"/>
                          <w:kern w:val="24"/>
                          <w:lang w:val="fr-FR"/>
                        </w:rPr>
                        <w:t>0.3</w:t>
                      </w:r>
                      <w:r w:rsidRPr="00795CC5">
                        <w:rPr>
                          <w:b/>
                          <w:bCs/>
                          <w:i/>
                          <w:iCs/>
                          <w:color w:val="000000" w:themeColor="text1"/>
                          <w:kern w:val="24"/>
                          <w:lang w:val="fr-FR"/>
                        </w:rPr>
                        <w:t>, 11.5</w:t>
                      </w:r>
                      <w:r>
                        <w:rPr>
                          <w:b/>
                          <w:bCs/>
                          <w:i/>
                          <w:iCs/>
                          <w:color w:val="000000" w:themeColor="text1"/>
                          <w:kern w:val="24"/>
                          <w:lang w:val="fr-FR"/>
                        </w:rPr>
                        <w:t>,16.2</w:t>
                      </w:r>
                      <w:r w:rsidRPr="00795CC5">
                        <w:rPr>
                          <w:b/>
                          <w:bCs/>
                          <w:i/>
                          <w:iCs/>
                          <w:color w:val="000000" w:themeColor="text1"/>
                          <w:kern w:val="24"/>
                          <w:lang w:val="fr-FR"/>
                        </w:rPr>
                        <w:t>)*</w:t>
                      </w:r>
                    </w:p>
                    <w:p w14:paraId="261F3293" w14:textId="77777777" w:rsidR="001A5F74" w:rsidRPr="00B7306B" w:rsidRDefault="001A5F74" w:rsidP="00B630EF">
                      <w:pPr>
                        <w:pStyle w:val="ListParagraph"/>
                        <w:numPr>
                          <w:ilvl w:val="0"/>
                          <w:numId w:val="43"/>
                        </w:numPr>
                        <w:rPr>
                          <w:b/>
                          <w:bCs/>
                          <w:color w:val="000000" w:themeColor="text1"/>
                          <w:kern w:val="24"/>
                          <w:sz w:val="20"/>
                        </w:rPr>
                      </w:pPr>
                      <w:r w:rsidRPr="00B7306B">
                        <w:rPr>
                          <w:b/>
                          <w:bCs/>
                          <w:color w:val="000000" w:themeColor="text1"/>
                          <w:kern w:val="24"/>
                          <w:sz w:val="20"/>
                          <w:lang w:val="fr-FR"/>
                        </w:rPr>
                        <w:t>Accord de coopération</w:t>
                      </w:r>
                    </w:p>
                    <w:p w14:paraId="15E3F61D" w14:textId="77777777" w:rsidR="001A5F74" w:rsidRPr="0030777C" w:rsidRDefault="001A5F74" w:rsidP="00B630EF">
                      <w:pPr>
                        <w:pStyle w:val="ListParagraph"/>
                        <w:numPr>
                          <w:ilvl w:val="0"/>
                          <w:numId w:val="43"/>
                        </w:numPr>
                        <w:rPr>
                          <w:b/>
                          <w:bCs/>
                          <w:color w:val="000000" w:themeColor="text1"/>
                          <w:kern w:val="24"/>
                          <w:sz w:val="20"/>
                          <w:lang w:val="fr-FR"/>
                        </w:rPr>
                      </w:pPr>
                      <w:r w:rsidRPr="0030777C">
                        <w:rPr>
                          <w:b/>
                          <w:bCs/>
                          <w:color w:val="000000" w:themeColor="text1"/>
                          <w:kern w:val="24"/>
                          <w:sz w:val="20"/>
                          <w:lang w:val="fr-FR"/>
                        </w:rPr>
                        <w:t>Rapport qualité et renforcement des capacités</w:t>
                      </w:r>
                    </w:p>
                    <w:p w14:paraId="65657FAA" w14:textId="7B461615" w:rsidR="001A5F74" w:rsidRPr="00F0710F" w:rsidRDefault="001A5F74" w:rsidP="00B630EF">
                      <w:pPr>
                        <w:pStyle w:val="ListParagraph"/>
                        <w:numPr>
                          <w:ilvl w:val="0"/>
                          <w:numId w:val="43"/>
                        </w:numPr>
                        <w:rPr>
                          <w:b/>
                          <w:bCs/>
                          <w:color w:val="000000" w:themeColor="text1"/>
                          <w:kern w:val="24"/>
                          <w:sz w:val="20"/>
                          <w:lang w:val="fr-FR"/>
                        </w:rPr>
                      </w:pPr>
                      <w:r>
                        <w:rPr>
                          <w:b/>
                          <w:bCs/>
                          <w:color w:val="000000" w:themeColor="text1"/>
                          <w:kern w:val="24"/>
                          <w:sz w:val="20"/>
                          <w:lang w:val="fr-FR"/>
                        </w:rPr>
                        <w:t>Orientation</w:t>
                      </w:r>
                      <w:r w:rsidRPr="00F0710F">
                        <w:rPr>
                          <w:b/>
                          <w:bCs/>
                          <w:color w:val="000000" w:themeColor="text1"/>
                          <w:kern w:val="24"/>
                          <w:sz w:val="20"/>
                          <w:lang w:val="fr-FR"/>
                        </w:rPr>
                        <w:t xml:space="preserve"> sur le développement d</w:t>
                      </w:r>
                      <w:r w:rsidR="00636ADB">
                        <w:rPr>
                          <w:b/>
                          <w:bCs/>
                          <w:color w:val="000000" w:themeColor="text1"/>
                          <w:kern w:val="24"/>
                          <w:sz w:val="20"/>
                          <w:lang w:val="fr-FR"/>
                        </w:rPr>
                        <w:t>es jeu</w:t>
                      </w:r>
                      <w:r w:rsidRPr="00F0710F">
                        <w:rPr>
                          <w:b/>
                          <w:bCs/>
                          <w:color w:val="000000" w:themeColor="text1"/>
                          <w:kern w:val="24"/>
                          <w:sz w:val="20"/>
                          <w:lang w:val="fr-FR"/>
                        </w:rPr>
                        <w:t xml:space="preserve"> de données administratives</w:t>
                      </w:r>
                    </w:p>
                    <w:p w14:paraId="01DF8164" w14:textId="39657147" w:rsidR="001A5F74" w:rsidRPr="00AC6511" w:rsidRDefault="001A5F74" w:rsidP="00B630EF">
                      <w:pPr>
                        <w:pStyle w:val="ListParagraph"/>
                        <w:numPr>
                          <w:ilvl w:val="0"/>
                          <w:numId w:val="43"/>
                        </w:numPr>
                        <w:rPr>
                          <w:b/>
                          <w:bCs/>
                          <w:color w:val="000000" w:themeColor="text1"/>
                          <w:kern w:val="24"/>
                          <w:sz w:val="20"/>
                          <w:lang w:val="fr-FR"/>
                        </w:rPr>
                      </w:pPr>
                      <w:r>
                        <w:rPr>
                          <w:b/>
                          <w:bCs/>
                          <w:color w:val="000000" w:themeColor="text1"/>
                          <w:kern w:val="24"/>
                          <w:sz w:val="20"/>
                          <w:lang w:val="fr-FR"/>
                        </w:rPr>
                        <w:t>Orientation</w:t>
                      </w:r>
                      <w:r w:rsidRPr="00AC6511">
                        <w:rPr>
                          <w:b/>
                          <w:bCs/>
                          <w:color w:val="000000" w:themeColor="text1"/>
                          <w:kern w:val="24"/>
                          <w:sz w:val="20"/>
                          <w:lang w:val="fr-FR"/>
                        </w:rPr>
                        <w:t xml:space="preserve"> sur les normes et classifications statistiques, </w:t>
                      </w:r>
                      <w:r>
                        <w:rPr>
                          <w:b/>
                          <w:bCs/>
                          <w:color w:val="000000" w:themeColor="text1"/>
                          <w:kern w:val="24"/>
                          <w:sz w:val="20"/>
                          <w:lang w:val="fr-FR"/>
                        </w:rPr>
                        <w:t>notamment les</w:t>
                      </w:r>
                      <w:r w:rsidRPr="00AC6511">
                        <w:rPr>
                          <w:b/>
                          <w:bCs/>
                          <w:color w:val="000000" w:themeColor="text1"/>
                          <w:kern w:val="24"/>
                          <w:sz w:val="20"/>
                          <w:lang w:val="fr-FR"/>
                        </w:rPr>
                        <w:t xml:space="preserve"> mises à jour</w:t>
                      </w:r>
                    </w:p>
                    <w:p w14:paraId="76738AA1" w14:textId="77777777" w:rsidR="001A5F74" w:rsidRPr="00795CC5" w:rsidRDefault="001A5F74" w:rsidP="00B630EF">
                      <w:pPr>
                        <w:pStyle w:val="ListParagraph"/>
                        <w:numPr>
                          <w:ilvl w:val="0"/>
                          <w:numId w:val="43"/>
                        </w:numPr>
                        <w:rPr>
                          <w:b/>
                          <w:bCs/>
                          <w:color w:val="000000" w:themeColor="text1"/>
                          <w:kern w:val="24"/>
                          <w:sz w:val="20"/>
                          <w:lang w:val="fr-FR"/>
                        </w:rPr>
                      </w:pPr>
                    </w:p>
                  </w:txbxContent>
                </v:textbox>
                <w10:wrap anchorx="margin"/>
              </v:rect>
            </w:pict>
          </mc:Fallback>
        </mc:AlternateContent>
      </w:r>
      <w:r w:rsidRPr="00896F81">
        <w:rPr>
          <w:rFonts w:asciiTheme="majorBidi" w:hAnsiTheme="majorBidi" w:cstheme="majorBidi"/>
          <w:b/>
          <w:bCs/>
          <w:noProof/>
          <w:lang w:val="fr-FR" w:eastAsia="fr-FR"/>
        </w:rPr>
        <mc:AlternateContent>
          <mc:Choice Requires="wps">
            <w:drawing>
              <wp:anchor distT="0" distB="0" distL="114300" distR="114300" simplePos="0" relativeHeight="251663360" behindDoc="0" locked="0" layoutInCell="1" allowOverlap="1" wp14:anchorId="21103229" wp14:editId="05610D17">
                <wp:simplePos x="0" y="0"/>
                <wp:positionH relativeFrom="margin">
                  <wp:posOffset>952500</wp:posOffset>
                </wp:positionH>
                <wp:positionV relativeFrom="paragraph">
                  <wp:posOffset>1958974</wp:posOffset>
                </wp:positionV>
                <wp:extent cx="3857625" cy="923925"/>
                <wp:effectExtent l="0" t="0" r="28575" b="28575"/>
                <wp:wrapNone/>
                <wp:docPr id="25" name="Rectangle 14">
                  <a:extLst xmlns:a="http://schemas.openxmlformats.org/drawingml/2006/main">
                    <a:ext uri="{FF2B5EF4-FFF2-40B4-BE49-F238E27FC236}">
                      <a16:creationId xmlns:a16="http://schemas.microsoft.com/office/drawing/2014/main" id="{0932EC80-9BF7-47C2-B801-9A2620A81EB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923925"/>
                        </a:xfrm>
                        <a:prstGeom prst="rect">
                          <a:avLst/>
                        </a:prstGeom>
                        <a:solidFill>
                          <a:schemeClr val="accent1">
                            <a:lumMod val="20000"/>
                            <a:lumOff val="80000"/>
                          </a:schemeClr>
                        </a:solidFill>
                        <a:ln w="12700">
                          <a:solidFill>
                            <a:schemeClr val="tx1"/>
                          </a:solidFill>
                          <a:miter lim="800000"/>
                          <a:headEnd/>
                          <a:tailEnd/>
                        </a:ln>
                        <a:effectLst/>
                      </wps:spPr>
                      <wps:txbx>
                        <w:txbxContent>
                          <w:p w14:paraId="3B3A48CA" w14:textId="77777777" w:rsidR="001A5F74" w:rsidRPr="00006EE8" w:rsidRDefault="001A5F74" w:rsidP="00B630EF">
                            <w:pPr>
                              <w:spacing w:after="0" w:line="240" w:lineRule="auto"/>
                              <w:rPr>
                                <w:b/>
                                <w:bCs/>
                                <w:i/>
                                <w:iCs/>
                                <w:color w:val="000000" w:themeColor="text1"/>
                                <w:kern w:val="24"/>
                                <w:sz w:val="24"/>
                                <w:szCs w:val="24"/>
                                <w:lang w:val="fr-FR"/>
                              </w:rPr>
                            </w:pPr>
                            <w:r w:rsidRPr="00AA3C5F">
                              <w:rPr>
                                <w:b/>
                                <w:bCs/>
                                <w:i/>
                                <w:iCs/>
                                <w:color w:val="000000" w:themeColor="text1"/>
                                <w:kern w:val="24"/>
                                <w:lang w:val="fr-FR"/>
                              </w:rPr>
                              <w:t xml:space="preserve">Action 3. </w:t>
                            </w:r>
                            <w:r w:rsidRPr="00006EE8">
                              <w:rPr>
                                <w:b/>
                                <w:bCs/>
                                <w:i/>
                                <w:iCs/>
                                <w:color w:val="000000" w:themeColor="text1"/>
                                <w:kern w:val="24"/>
                                <w:lang w:val="fr-FR"/>
                              </w:rPr>
                              <w:t xml:space="preserve">Acquisition et traitement des données </w:t>
                            </w:r>
                            <w:r w:rsidRPr="00016D13">
                              <w:rPr>
                                <w:b/>
                                <w:bCs/>
                                <w:i/>
                                <w:iCs/>
                                <w:color w:val="000000" w:themeColor="text1"/>
                                <w:kern w:val="24"/>
                                <w:lang w:val="fr-FR"/>
                              </w:rPr>
                              <w:t>(</w:t>
                            </w:r>
                            <w:r w:rsidRPr="00B80F30">
                              <w:rPr>
                                <w:i/>
                                <w:iCs/>
                                <w:color w:val="000000" w:themeColor="text1"/>
                                <w:kern w:val="24"/>
                                <w:lang w:val="fr-FR"/>
                              </w:rPr>
                              <w:t>8.5, 10.1, 10.3</w:t>
                            </w:r>
                            <w:r w:rsidRPr="00016D13">
                              <w:rPr>
                                <w:b/>
                                <w:bCs/>
                                <w:i/>
                                <w:iCs/>
                                <w:color w:val="000000" w:themeColor="text1"/>
                                <w:kern w:val="24"/>
                                <w:lang w:val="fr-FR"/>
                              </w:rPr>
                              <w:t xml:space="preserve">, 10.5, </w:t>
                            </w:r>
                            <w:r w:rsidRPr="00006EE8">
                              <w:rPr>
                                <w:color w:val="000000" w:themeColor="text1"/>
                                <w:kern w:val="24"/>
                                <w:lang w:val="fr-FR"/>
                              </w:rPr>
                              <w:t>11.5, 12.1, 12.2, 12.3, 12.5, 13.4, 15.1, 18.2)*</w:t>
                            </w:r>
                          </w:p>
                          <w:p w14:paraId="46074E0A" w14:textId="77777777" w:rsidR="001A5F74" w:rsidRDefault="001A5F74" w:rsidP="00B630EF">
                            <w:pPr>
                              <w:pStyle w:val="ListParagraph"/>
                              <w:numPr>
                                <w:ilvl w:val="0"/>
                                <w:numId w:val="43"/>
                              </w:numPr>
                              <w:rPr>
                                <w:b/>
                                <w:bCs/>
                                <w:color w:val="000000" w:themeColor="text1"/>
                                <w:kern w:val="24"/>
                                <w:sz w:val="20"/>
                              </w:rPr>
                            </w:pPr>
                            <w:r w:rsidRPr="00135805">
                              <w:rPr>
                                <w:b/>
                                <w:bCs/>
                                <w:color w:val="000000" w:themeColor="text1"/>
                                <w:kern w:val="24"/>
                                <w:sz w:val="20"/>
                              </w:rPr>
                              <w:t>Mise en relation</w:t>
                            </w:r>
                          </w:p>
                          <w:p w14:paraId="2149BB9D" w14:textId="77777777" w:rsidR="001A5F74" w:rsidRDefault="001A5F74" w:rsidP="00B630EF">
                            <w:pPr>
                              <w:pStyle w:val="ListParagraph"/>
                              <w:numPr>
                                <w:ilvl w:val="0"/>
                                <w:numId w:val="43"/>
                              </w:numPr>
                              <w:rPr>
                                <w:b/>
                                <w:bCs/>
                                <w:color w:val="000000" w:themeColor="text1"/>
                                <w:kern w:val="24"/>
                                <w:sz w:val="20"/>
                              </w:rPr>
                            </w:pPr>
                            <w:r w:rsidRPr="00135805">
                              <w:rPr>
                                <w:b/>
                                <w:bCs/>
                                <w:color w:val="000000" w:themeColor="text1"/>
                                <w:kern w:val="24"/>
                                <w:sz w:val="20"/>
                              </w:rPr>
                              <w:t>Imputation</w:t>
                            </w:r>
                          </w:p>
                          <w:p w14:paraId="24AF31AE" w14:textId="77777777" w:rsidR="001A5F74" w:rsidRDefault="001A5F74" w:rsidP="00B630EF">
                            <w:pPr>
                              <w:pStyle w:val="ListParagraph"/>
                              <w:numPr>
                                <w:ilvl w:val="0"/>
                                <w:numId w:val="43"/>
                              </w:numPr>
                              <w:rPr>
                                <w:b/>
                                <w:bCs/>
                                <w:color w:val="000000" w:themeColor="text1"/>
                                <w:kern w:val="24"/>
                                <w:sz w:val="20"/>
                              </w:rPr>
                            </w:pPr>
                            <w:r w:rsidRPr="00F03D29">
                              <w:rPr>
                                <w:b/>
                                <w:bCs/>
                                <w:color w:val="000000" w:themeColor="text1"/>
                                <w:kern w:val="24"/>
                                <w:sz w:val="20"/>
                              </w:rPr>
                              <w:t>Édition, conversion</w:t>
                            </w:r>
                          </w:p>
                          <w:p w14:paraId="7011AA2A" w14:textId="77777777" w:rsidR="001A5F74" w:rsidRDefault="001A5F74" w:rsidP="00B630EF">
                            <w:pPr>
                              <w:pStyle w:val="ListParagraph"/>
                              <w:numPr>
                                <w:ilvl w:val="0"/>
                                <w:numId w:val="43"/>
                              </w:numPr>
                              <w:rPr>
                                <w:b/>
                                <w:bCs/>
                                <w:color w:val="000000" w:themeColor="text1"/>
                                <w:kern w:val="24"/>
                                <w:sz w:val="20"/>
                              </w:rPr>
                            </w:pPr>
                            <w:r w:rsidRPr="00F03D29">
                              <w:rPr>
                                <w:b/>
                                <w:bCs/>
                                <w:color w:val="000000" w:themeColor="text1"/>
                                <w:kern w:val="24"/>
                                <w:sz w:val="20"/>
                              </w:rPr>
                              <w:t>Registre statistique, Archivage</w:t>
                            </w:r>
                          </w:p>
                        </w:txbxContent>
                      </wps:txbx>
                      <wps:bodyPr wrap="square" lIns="91440" tIns="0" rIns="0" bIns="0" anchor="ctr">
                        <a:noAutofit/>
                      </wps:bodyPr>
                    </wps:wsp>
                  </a:graphicData>
                </a:graphic>
                <wp14:sizeRelH relativeFrom="margin">
                  <wp14:pctWidth>0</wp14:pctWidth>
                </wp14:sizeRelH>
                <wp14:sizeRelV relativeFrom="margin">
                  <wp14:pctHeight>0</wp14:pctHeight>
                </wp14:sizeRelV>
              </wp:anchor>
            </w:drawing>
          </mc:Choice>
          <mc:Fallback>
            <w:pict>
              <v:rect w14:anchorId="21103229" id="_x0000_s1031" style="position:absolute;margin-left:75pt;margin-top:154.25pt;width:303.75pt;height:7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" fillcolor="#d9e2f3 [660]" strokecolor="black [3213]" strokeweight="1pt">
                <v:textbox inset=",0,0,0">
                  <w:txbxContent>
                    <w:p w14:paraId="3B3A48CA" w14:textId="77777777" w:rsidR="001A5F74" w:rsidRPr="00006EE8" w:rsidRDefault="001A5F74" w:rsidP="00B630EF">
                      <w:pPr>
                        <w:spacing w:after="0" w:line="240" w:lineRule="auto"/>
                        <w:rPr>
                          <w:b/>
                          <w:bCs/>
                          <w:i/>
                          <w:iCs/>
                          <w:color w:val="000000" w:themeColor="text1"/>
                          <w:kern w:val="24"/>
                          <w:sz w:val="24"/>
                          <w:szCs w:val="24"/>
                          <w:lang w:val="fr-FR"/>
                        </w:rPr>
                      </w:pPr>
                      <w:r w:rsidRPr="00AA3C5F">
                        <w:rPr>
                          <w:b/>
                          <w:bCs/>
                          <w:i/>
                          <w:iCs/>
                          <w:color w:val="000000" w:themeColor="text1"/>
                          <w:kern w:val="24"/>
                          <w:lang w:val="fr-FR"/>
                        </w:rPr>
                        <w:t xml:space="preserve">Action 3. </w:t>
                      </w:r>
                      <w:r w:rsidRPr="00006EE8">
                        <w:rPr>
                          <w:b/>
                          <w:bCs/>
                          <w:i/>
                          <w:iCs/>
                          <w:color w:val="000000" w:themeColor="text1"/>
                          <w:kern w:val="24"/>
                          <w:lang w:val="fr-FR"/>
                        </w:rPr>
                        <w:t xml:space="preserve">Acquisition et traitement des données </w:t>
                      </w:r>
                      <w:r w:rsidRPr="00016D13">
                        <w:rPr>
                          <w:b/>
                          <w:bCs/>
                          <w:i/>
                          <w:iCs/>
                          <w:color w:val="000000" w:themeColor="text1"/>
                          <w:kern w:val="24"/>
                          <w:lang w:val="fr-FR"/>
                        </w:rPr>
                        <w:t>(</w:t>
                      </w:r>
                      <w:r w:rsidRPr="00B80F30">
                        <w:rPr>
                          <w:i/>
                          <w:iCs/>
                          <w:color w:val="000000" w:themeColor="text1"/>
                          <w:kern w:val="24"/>
                          <w:lang w:val="fr-FR"/>
                        </w:rPr>
                        <w:t>8.5, 10.1, 10.3</w:t>
                      </w:r>
                      <w:r w:rsidRPr="00016D13">
                        <w:rPr>
                          <w:b/>
                          <w:bCs/>
                          <w:i/>
                          <w:iCs/>
                          <w:color w:val="000000" w:themeColor="text1"/>
                          <w:kern w:val="24"/>
                          <w:lang w:val="fr-FR"/>
                        </w:rPr>
                        <w:t xml:space="preserve">, 10.5, </w:t>
                      </w:r>
                      <w:r w:rsidRPr="00006EE8">
                        <w:rPr>
                          <w:color w:val="000000" w:themeColor="text1"/>
                          <w:kern w:val="24"/>
                          <w:lang w:val="fr-FR"/>
                        </w:rPr>
                        <w:t>11.5, 12.1, 12.2, 12.3, 12.5, 13.4, 15.1, 18.2)*</w:t>
                      </w:r>
                    </w:p>
                    <w:p w14:paraId="46074E0A" w14:textId="77777777" w:rsidR="001A5F74" w:rsidRDefault="001A5F74" w:rsidP="00B630EF">
                      <w:pPr>
                        <w:pStyle w:val="ListParagraph"/>
                        <w:numPr>
                          <w:ilvl w:val="0"/>
                          <w:numId w:val="43"/>
                        </w:numPr>
                        <w:rPr>
                          <w:b/>
                          <w:bCs/>
                          <w:color w:val="000000" w:themeColor="text1"/>
                          <w:kern w:val="24"/>
                          <w:sz w:val="20"/>
                        </w:rPr>
                      </w:pPr>
                      <w:r w:rsidRPr="00135805">
                        <w:rPr>
                          <w:b/>
                          <w:bCs/>
                          <w:color w:val="000000" w:themeColor="text1"/>
                          <w:kern w:val="24"/>
                          <w:sz w:val="20"/>
                        </w:rPr>
                        <w:t>Mise en relation</w:t>
                      </w:r>
                    </w:p>
                    <w:p w14:paraId="2149BB9D" w14:textId="77777777" w:rsidR="001A5F74" w:rsidRDefault="001A5F74" w:rsidP="00B630EF">
                      <w:pPr>
                        <w:pStyle w:val="ListParagraph"/>
                        <w:numPr>
                          <w:ilvl w:val="0"/>
                          <w:numId w:val="43"/>
                        </w:numPr>
                        <w:rPr>
                          <w:b/>
                          <w:bCs/>
                          <w:color w:val="000000" w:themeColor="text1"/>
                          <w:kern w:val="24"/>
                          <w:sz w:val="20"/>
                        </w:rPr>
                      </w:pPr>
                      <w:r w:rsidRPr="00135805">
                        <w:rPr>
                          <w:b/>
                          <w:bCs/>
                          <w:color w:val="000000" w:themeColor="text1"/>
                          <w:kern w:val="24"/>
                          <w:sz w:val="20"/>
                        </w:rPr>
                        <w:t>Imputation</w:t>
                      </w:r>
                    </w:p>
                    <w:p w14:paraId="24AF31AE" w14:textId="77777777" w:rsidR="001A5F74" w:rsidRDefault="001A5F74" w:rsidP="00B630EF">
                      <w:pPr>
                        <w:pStyle w:val="ListParagraph"/>
                        <w:numPr>
                          <w:ilvl w:val="0"/>
                          <w:numId w:val="43"/>
                        </w:numPr>
                        <w:rPr>
                          <w:b/>
                          <w:bCs/>
                          <w:color w:val="000000" w:themeColor="text1"/>
                          <w:kern w:val="24"/>
                          <w:sz w:val="20"/>
                        </w:rPr>
                      </w:pPr>
                      <w:r w:rsidRPr="00F03D29">
                        <w:rPr>
                          <w:b/>
                          <w:bCs/>
                          <w:color w:val="000000" w:themeColor="text1"/>
                          <w:kern w:val="24"/>
                          <w:sz w:val="20"/>
                        </w:rPr>
                        <w:t>Édition, conversion</w:t>
                      </w:r>
                    </w:p>
                    <w:p w14:paraId="7011AA2A" w14:textId="77777777" w:rsidR="001A5F74" w:rsidRDefault="001A5F74" w:rsidP="00B630EF">
                      <w:pPr>
                        <w:pStyle w:val="ListParagraph"/>
                        <w:numPr>
                          <w:ilvl w:val="0"/>
                          <w:numId w:val="43"/>
                        </w:numPr>
                        <w:rPr>
                          <w:b/>
                          <w:bCs/>
                          <w:color w:val="000000" w:themeColor="text1"/>
                          <w:kern w:val="24"/>
                          <w:sz w:val="20"/>
                        </w:rPr>
                      </w:pPr>
                      <w:r w:rsidRPr="00F03D29">
                        <w:rPr>
                          <w:b/>
                          <w:bCs/>
                          <w:color w:val="000000" w:themeColor="text1"/>
                          <w:kern w:val="24"/>
                          <w:sz w:val="20"/>
                        </w:rPr>
                        <w:t>Registre statistique, Archivage</w:t>
                      </w:r>
                    </w:p>
                  </w:txbxContent>
                </v:textbox>
                <w10:wrap anchorx="margin"/>
              </v:rect>
            </w:pict>
          </mc:Fallback>
        </mc:AlternateContent>
      </w:r>
      <w:r w:rsidRPr="00896F81">
        <w:rPr>
          <w:rFonts w:asciiTheme="majorBidi" w:hAnsiTheme="majorBidi" w:cstheme="majorBidi"/>
          <w:noProof/>
          <w:color w:val="000000" w:themeColor="text1"/>
          <w:sz w:val="24"/>
          <w:szCs w:val="24"/>
          <w:lang w:val="fr-FR" w:eastAsia="fr-FR"/>
        </w:rPr>
        <mc:AlternateContent>
          <mc:Choice Requires="wps">
            <w:drawing>
              <wp:anchor distT="0" distB="0" distL="114300" distR="114300" simplePos="0" relativeHeight="251667456" behindDoc="0" locked="0" layoutInCell="1" allowOverlap="1" wp14:anchorId="773FD5B0" wp14:editId="66F5B2D4">
                <wp:simplePos x="0" y="0"/>
                <wp:positionH relativeFrom="column">
                  <wp:posOffset>4848225</wp:posOffset>
                </wp:positionH>
                <wp:positionV relativeFrom="paragraph">
                  <wp:posOffset>2197100</wp:posOffset>
                </wp:positionV>
                <wp:extent cx="266700" cy="180975"/>
                <wp:effectExtent l="19050" t="19050" r="19050" b="47625"/>
                <wp:wrapNone/>
                <wp:docPr id="327888835" name="Pil: høyre 25"/>
                <wp:cNvGraphicFramePr/>
                <a:graphic xmlns:a="http://schemas.openxmlformats.org/drawingml/2006/main">
                  <a:graphicData uri="http://schemas.microsoft.com/office/word/2010/wordprocessingShape">
                    <wps:wsp>
                      <wps:cNvSpPr/>
                      <wps:spPr>
                        <a:xfrm rot="10800000">
                          <a:off x="0" y="0"/>
                          <a:ext cx="266700" cy="1809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6DC6559F" id="Pil: høyre 25" o:spid="_x0000_s1026" type="#_x0000_t13" style="position:absolute;margin-left:381.75pt;margin-top:173pt;width:21pt;height:14.2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" adj="14271" fillcolor="#4472c4 [3204]" strokecolor="#1f3763 [1604]" strokeweight="1pt"/>
            </w:pict>
          </mc:Fallback>
        </mc:AlternateContent>
      </w:r>
      <w:r w:rsidRPr="00896F81">
        <w:rPr>
          <w:rFonts w:asciiTheme="majorBidi" w:hAnsiTheme="majorBidi" w:cstheme="majorBidi"/>
          <w:noProof/>
          <w:color w:val="000000" w:themeColor="text1"/>
          <w:sz w:val="24"/>
          <w:szCs w:val="24"/>
          <w:lang w:val="fr-FR" w:eastAsia="fr-FR"/>
        </w:rPr>
        <mc:AlternateContent>
          <mc:Choice Requires="wps">
            <w:drawing>
              <wp:anchor distT="0" distB="0" distL="114300" distR="114300" simplePos="0" relativeHeight="251668480" behindDoc="0" locked="0" layoutInCell="1" allowOverlap="1" wp14:anchorId="7ADA4C73" wp14:editId="23B3C506">
                <wp:simplePos x="0" y="0"/>
                <wp:positionH relativeFrom="column">
                  <wp:posOffset>4848225</wp:posOffset>
                </wp:positionH>
                <wp:positionV relativeFrom="paragraph">
                  <wp:posOffset>3178175</wp:posOffset>
                </wp:positionV>
                <wp:extent cx="266700" cy="180975"/>
                <wp:effectExtent l="19050" t="19050" r="19050" b="47625"/>
                <wp:wrapNone/>
                <wp:docPr id="1021368970" name="Pil: høyre 25"/>
                <wp:cNvGraphicFramePr/>
                <a:graphic xmlns:a="http://schemas.openxmlformats.org/drawingml/2006/main">
                  <a:graphicData uri="http://schemas.microsoft.com/office/word/2010/wordprocessingShape">
                    <wps:wsp>
                      <wps:cNvSpPr/>
                      <wps:spPr>
                        <a:xfrm rot="10800000">
                          <a:off x="0" y="0"/>
                          <a:ext cx="266700" cy="1809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047BF38C" id="Pil: høyre 25" o:spid="_x0000_s1026" type="#_x0000_t13" style="position:absolute;margin-left:381.75pt;margin-top:250.25pt;width:21pt;height:14.2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" adj="14271" fillcolor="#4472c4 [3204]" strokecolor="#1f3763 [1604]" strokeweight="1pt"/>
            </w:pict>
          </mc:Fallback>
        </mc:AlternateContent>
      </w:r>
      <w:r w:rsidRPr="00896F81">
        <w:rPr>
          <w:rFonts w:asciiTheme="majorBidi" w:hAnsiTheme="majorBidi" w:cstheme="majorBidi"/>
          <w:noProof/>
          <w:color w:val="000000" w:themeColor="text1"/>
          <w:sz w:val="24"/>
          <w:szCs w:val="24"/>
          <w:lang w:val="fr-FR" w:eastAsia="fr-FR"/>
        </w:rPr>
        <mc:AlternateContent>
          <mc:Choice Requires="wps">
            <w:drawing>
              <wp:anchor distT="0" distB="0" distL="114300" distR="114300" simplePos="0" relativeHeight="251666432" behindDoc="0" locked="0" layoutInCell="1" allowOverlap="1" wp14:anchorId="429A4ABA" wp14:editId="3431895A">
                <wp:simplePos x="0" y="0"/>
                <wp:positionH relativeFrom="column">
                  <wp:posOffset>4838700</wp:posOffset>
                </wp:positionH>
                <wp:positionV relativeFrom="paragraph">
                  <wp:posOffset>1054100</wp:posOffset>
                </wp:positionV>
                <wp:extent cx="266700" cy="180975"/>
                <wp:effectExtent l="19050" t="19050" r="19050" b="47625"/>
                <wp:wrapNone/>
                <wp:docPr id="1738911407" name="Pil: høyre 25"/>
                <wp:cNvGraphicFramePr/>
                <a:graphic xmlns:a="http://schemas.openxmlformats.org/drawingml/2006/main">
                  <a:graphicData uri="http://schemas.microsoft.com/office/word/2010/wordprocessingShape">
                    <wps:wsp>
                      <wps:cNvSpPr/>
                      <wps:spPr>
                        <a:xfrm rot="10800000">
                          <a:off x="0" y="0"/>
                          <a:ext cx="266700" cy="1809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51880E64" id="Pil: høyre 25" o:spid="_x0000_s1026" type="#_x0000_t13" style="position:absolute;margin-left:381pt;margin-top:83pt;width:21pt;height:14.2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" adj="14271" fillcolor="#4472c4 [3204]" strokecolor="#1f3763 [1604]" strokeweight="1pt"/>
            </w:pict>
          </mc:Fallback>
        </mc:AlternateContent>
      </w:r>
      <w:r w:rsidRPr="00896F81">
        <w:rPr>
          <w:rFonts w:asciiTheme="majorBidi" w:hAnsiTheme="majorBidi" w:cstheme="majorBidi"/>
          <w:b/>
          <w:bCs/>
          <w:noProof/>
          <w:lang w:val="fr-FR" w:eastAsia="fr-FR"/>
        </w:rPr>
        <mc:AlternateContent>
          <mc:Choice Requires="wps">
            <w:drawing>
              <wp:anchor distT="0" distB="0" distL="114300" distR="114300" simplePos="0" relativeHeight="251665408" behindDoc="0" locked="0" layoutInCell="1" allowOverlap="1" wp14:anchorId="6B6F1BFB" wp14:editId="209167AB">
                <wp:simplePos x="0" y="0"/>
                <wp:positionH relativeFrom="column">
                  <wp:posOffset>609600</wp:posOffset>
                </wp:positionH>
                <wp:positionV relativeFrom="paragraph">
                  <wp:posOffset>3183255</wp:posOffset>
                </wp:positionV>
                <wp:extent cx="269240" cy="180975"/>
                <wp:effectExtent l="19050" t="19050" r="16510" b="47625"/>
                <wp:wrapNone/>
                <wp:docPr id="27" name="Pil: venstre og høyre 26">
                  <a:extLst xmlns:a="http://schemas.openxmlformats.org/drawingml/2006/main">
                    <a:ext uri="{FF2B5EF4-FFF2-40B4-BE49-F238E27FC236}">
                      <a16:creationId xmlns:a16="http://schemas.microsoft.com/office/drawing/2014/main" id="{EC6235C5-1A18-DFB7-C8C7-BB91688E0C52}"/>
                    </a:ext>
                  </a:extLst>
                </wp:docPr>
                <wp:cNvGraphicFramePr/>
                <a:graphic xmlns:a="http://schemas.openxmlformats.org/drawingml/2006/main">
                  <a:graphicData uri="http://schemas.microsoft.com/office/word/2010/wordprocessingShape">
                    <wps:wsp>
                      <wps:cNvSpPr/>
                      <wps:spPr>
                        <a:xfrm>
                          <a:off x="0" y="0"/>
                          <a:ext cx="269240" cy="180975"/>
                        </a:xfrm>
                        <a:prstGeom prst="leftRightArrow">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1939C72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Pil: venstre og høyre 26" o:spid="_x0000_s1026" type="#_x0000_t69" style="position:absolute;margin-left:48pt;margin-top:250.65pt;width:21.2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" adj="7259" fillcolor="#4472c4 [3204]" strokecolor="#09101d [484]" strokeweight="1pt"/>
            </w:pict>
          </mc:Fallback>
        </mc:AlternateContent>
      </w:r>
      <w:r w:rsidRPr="00896F81">
        <w:rPr>
          <w:rFonts w:asciiTheme="majorBidi" w:hAnsiTheme="majorBidi" w:cstheme="majorBidi"/>
          <w:b/>
          <w:bCs/>
          <w:noProof/>
          <w:lang w:val="fr-FR" w:eastAsia="fr-FR"/>
        </w:rPr>
        <mc:AlternateContent>
          <mc:Choice Requires="wps">
            <w:drawing>
              <wp:anchor distT="0" distB="0" distL="114300" distR="114300" simplePos="0" relativeHeight="251664384" behindDoc="0" locked="0" layoutInCell="1" allowOverlap="1" wp14:anchorId="0542CBCA" wp14:editId="6E90AE7D">
                <wp:simplePos x="0" y="0"/>
                <wp:positionH relativeFrom="margin">
                  <wp:posOffset>942975</wp:posOffset>
                </wp:positionH>
                <wp:positionV relativeFrom="paragraph">
                  <wp:posOffset>2974340</wp:posOffset>
                </wp:positionV>
                <wp:extent cx="3857625" cy="609600"/>
                <wp:effectExtent l="0" t="0" r="28575" b="19050"/>
                <wp:wrapNone/>
                <wp:docPr id="21" name="Rectangle 21">
                  <a:extLst xmlns:a="http://schemas.openxmlformats.org/drawingml/2006/main">
                    <a:ext uri="{FF2B5EF4-FFF2-40B4-BE49-F238E27FC236}">
                      <a16:creationId xmlns:a16="http://schemas.microsoft.com/office/drawing/2014/main" id="{6F049342-9637-42C4-A133-8710B6E136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609600"/>
                        </a:xfrm>
                        <a:prstGeom prst="rect">
                          <a:avLst/>
                        </a:prstGeom>
                        <a:solidFill>
                          <a:schemeClr val="accent1">
                            <a:lumMod val="20000"/>
                            <a:lumOff val="80000"/>
                          </a:schemeClr>
                        </a:solidFill>
                        <a:ln w="12700">
                          <a:solidFill>
                            <a:schemeClr val="tx1"/>
                          </a:solidFill>
                          <a:miter lim="800000"/>
                          <a:headEnd/>
                          <a:tailEnd/>
                        </a:ln>
                        <a:effectLst/>
                      </wps:spPr>
                      <wps:txbx>
                        <w:txbxContent>
                          <w:p w14:paraId="287E8969" w14:textId="03B78F0F" w:rsidR="001A5F74" w:rsidRDefault="001A5F74" w:rsidP="00B630EF">
                            <w:pPr>
                              <w:spacing w:after="0" w:line="240" w:lineRule="auto"/>
                              <w:rPr>
                                <w:b/>
                                <w:bCs/>
                                <w:i/>
                                <w:iCs/>
                                <w:color w:val="000000" w:themeColor="text1"/>
                                <w:kern w:val="24"/>
                                <w:sz w:val="24"/>
                                <w:szCs w:val="24"/>
                              </w:rPr>
                            </w:pPr>
                            <w:r>
                              <w:rPr>
                                <w:b/>
                                <w:bCs/>
                                <w:i/>
                                <w:iCs/>
                                <w:color w:val="000000" w:themeColor="text1"/>
                                <w:kern w:val="24"/>
                              </w:rPr>
                              <w:t>Action  4. Diffusion</w:t>
                            </w:r>
                            <w:r w:rsidRPr="00C84FA3">
                              <w:rPr>
                                <w:b/>
                                <w:bCs/>
                                <w:i/>
                                <w:iCs/>
                                <w:color w:val="000000" w:themeColor="text1"/>
                                <w:kern w:val="24"/>
                              </w:rPr>
                              <w:t xml:space="preserve"> </w:t>
                            </w:r>
                            <w:r>
                              <w:rPr>
                                <w:b/>
                                <w:bCs/>
                                <w:i/>
                                <w:iCs/>
                                <w:color w:val="000000" w:themeColor="text1"/>
                                <w:kern w:val="24"/>
                              </w:rPr>
                              <w:t>(14.1,14.4,15.1,17.4,19.2)*</w:t>
                            </w:r>
                          </w:p>
                          <w:p w14:paraId="196A5AB0" w14:textId="77777777" w:rsidR="001A5F74" w:rsidRDefault="001A5F74" w:rsidP="00B630EF">
                            <w:pPr>
                              <w:pStyle w:val="ListParagraph"/>
                              <w:numPr>
                                <w:ilvl w:val="0"/>
                                <w:numId w:val="43"/>
                              </w:numPr>
                              <w:rPr>
                                <w:b/>
                                <w:bCs/>
                                <w:color w:val="000000" w:themeColor="text1"/>
                                <w:kern w:val="24"/>
                                <w:sz w:val="20"/>
                              </w:rPr>
                            </w:pPr>
                            <w:r w:rsidRPr="004712F6">
                              <w:rPr>
                                <w:b/>
                                <w:bCs/>
                                <w:color w:val="000000" w:themeColor="text1"/>
                                <w:kern w:val="24"/>
                                <w:sz w:val="20"/>
                              </w:rPr>
                              <w:t>Satisfaction des utilisateurs</w:t>
                            </w:r>
                          </w:p>
                          <w:p w14:paraId="2025C7BD" w14:textId="7CA221FF" w:rsidR="001A5F74" w:rsidRPr="004712F6" w:rsidRDefault="001A5F74" w:rsidP="00B630EF">
                            <w:pPr>
                              <w:pStyle w:val="ListParagraph"/>
                              <w:numPr>
                                <w:ilvl w:val="0"/>
                                <w:numId w:val="43"/>
                              </w:numPr>
                              <w:rPr>
                                <w:b/>
                                <w:bCs/>
                                <w:color w:val="000000" w:themeColor="text1"/>
                                <w:kern w:val="24"/>
                                <w:sz w:val="20"/>
                                <w:lang w:val="fr-FR"/>
                              </w:rPr>
                            </w:pPr>
                            <w:r w:rsidRPr="004712F6">
                              <w:rPr>
                                <w:b/>
                                <w:bCs/>
                                <w:color w:val="000000" w:themeColor="text1"/>
                                <w:kern w:val="24"/>
                                <w:sz w:val="20"/>
                                <w:lang w:val="fr-FR"/>
                              </w:rPr>
                              <w:t xml:space="preserve">Métadonnées standardisées et rapports de qualité orientés </w:t>
                            </w:r>
                            <w:r>
                              <w:rPr>
                                <w:b/>
                                <w:bCs/>
                                <w:color w:val="000000" w:themeColor="text1"/>
                                <w:kern w:val="24"/>
                                <w:sz w:val="20"/>
                                <w:lang w:val="fr-FR"/>
                              </w:rPr>
                              <w:t xml:space="preserve">vers </w:t>
                            </w:r>
                            <w:r w:rsidRPr="004712F6">
                              <w:rPr>
                                <w:b/>
                                <w:bCs/>
                                <w:color w:val="000000" w:themeColor="text1"/>
                                <w:kern w:val="24"/>
                                <w:sz w:val="20"/>
                                <w:lang w:val="fr-FR"/>
                              </w:rPr>
                              <w:t>utilisateur</w:t>
                            </w:r>
                            <w:r>
                              <w:rPr>
                                <w:b/>
                                <w:bCs/>
                                <w:color w:val="000000" w:themeColor="text1"/>
                                <w:kern w:val="24"/>
                                <w:sz w:val="20"/>
                                <w:lang w:val="fr-FR"/>
                              </w:rPr>
                              <w:t>s</w:t>
                            </w:r>
                          </w:p>
                        </w:txbxContent>
                      </wps:txbx>
                      <wps:bodyPr wrap="square" lIns="91440" tIns="0" rIns="0" bIns="0" anchor="ctr">
                        <a:noAutofit/>
                      </wps:bodyPr>
                    </wps:wsp>
                  </a:graphicData>
                </a:graphic>
                <wp14:sizeRelH relativeFrom="margin">
                  <wp14:pctWidth>0</wp14:pctWidth>
                </wp14:sizeRelH>
                <wp14:sizeRelV relativeFrom="margin">
                  <wp14:pctHeight>0</wp14:pctHeight>
                </wp14:sizeRelV>
              </wp:anchor>
            </w:drawing>
          </mc:Choice>
          <mc:Fallback>
            <w:pict>
              <v:rect w14:anchorId="0542CBCA" id="Rectangle 21" o:spid="_x0000_s1032" style="position:absolute;margin-left:74.25pt;margin-top:234.2pt;width:303.75pt;height:4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" fillcolor="#d9e2f3 [660]" strokecolor="black [3213]" strokeweight="1pt">
                <v:textbox inset=",0,0,0">
                  <w:txbxContent>
                    <w:p w14:paraId="287E8969" w14:textId="03B78F0F" w:rsidR="001A5F74" w:rsidRDefault="001A5F74" w:rsidP="00B630EF">
                      <w:pPr>
                        <w:spacing w:after="0" w:line="240" w:lineRule="auto"/>
                        <w:rPr>
                          <w:b/>
                          <w:bCs/>
                          <w:i/>
                          <w:iCs/>
                          <w:color w:val="000000" w:themeColor="text1"/>
                          <w:kern w:val="24"/>
                          <w:sz w:val="24"/>
                          <w:szCs w:val="24"/>
                        </w:rPr>
                      </w:pPr>
                      <w:r>
                        <w:rPr>
                          <w:b/>
                          <w:bCs/>
                          <w:i/>
                          <w:iCs/>
                          <w:color w:val="000000" w:themeColor="text1"/>
                          <w:kern w:val="24"/>
                        </w:rPr>
                        <w:t>Action  4. Diffusion</w:t>
                      </w:r>
                      <w:r w:rsidRPr="00C84FA3">
                        <w:rPr>
                          <w:b/>
                          <w:bCs/>
                          <w:i/>
                          <w:iCs/>
                          <w:color w:val="000000" w:themeColor="text1"/>
                          <w:kern w:val="24"/>
                        </w:rPr>
                        <w:t xml:space="preserve"> </w:t>
                      </w:r>
                      <w:r>
                        <w:rPr>
                          <w:b/>
                          <w:bCs/>
                          <w:i/>
                          <w:iCs/>
                          <w:color w:val="000000" w:themeColor="text1"/>
                          <w:kern w:val="24"/>
                        </w:rPr>
                        <w:t>(14.1,14.4,15.1,17.4,19.2)*</w:t>
                      </w:r>
                    </w:p>
                    <w:p w14:paraId="196A5AB0" w14:textId="77777777" w:rsidR="001A5F74" w:rsidRDefault="001A5F74" w:rsidP="00B630EF">
                      <w:pPr>
                        <w:pStyle w:val="ListParagraph"/>
                        <w:numPr>
                          <w:ilvl w:val="0"/>
                          <w:numId w:val="43"/>
                        </w:numPr>
                        <w:rPr>
                          <w:b/>
                          <w:bCs/>
                          <w:color w:val="000000" w:themeColor="text1"/>
                          <w:kern w:val="24"/>
                          <w:sz w:val="20"/>
                        </w:rPr>
                      </w:pPr>
                      <w:r w:rsidRPr="004712F6">
                        <w:rPr>
                          <w:b/>
                          <w:bCs/>
                          <w:color w:val="000000" w:themeColor="text1"/>
                          <w:kern w:val="24"/>
                          <w:sz w:val="20"/>
                        </w:rPr>
                        <w:t>Satisfaction des utilisateurs</w:t>
                      </w:r>
                    </w:p>
                    <w:p w14:paraId="2025C7BD" w14:textId="7CA221FF" w:rsidR="001A5F74" w:rsidRPr="004712F6" w:rsidRDefault="001A5F74" w:rsidP="00B630EF">
                      <w:pPr>
                        <w:pStyle w:val="ListParagraph"/>
                        <w:numPr>
                          <w:ilvl w:val="0"/>
                          <w:numId w:val="43"/>
                        </w:numPr>
                        <w:rPr>
                          <w:b/>
                          <w:bCs/>
                          <w:color w:val="000000" w:themeColor="text1"/>
                          <w:kern w:val="24"/>
                          <w:sz w:val="20"/>
                          <w:lang w:val="fr-FR"/>
                        </w:rPr>
                      </w:pPr>
                      <w:r w:rsidRPr="004712F6">
                        <w:rPr>
                          <w:b/>
                          <w:bCs/>
                          <w:color w:val="000000" w:themeColor="text1"/>
                          <w:kern w:val="24"/>
                          <w:sz w:val="20"/>
                          <w:lang w:val="fr-FR"/>
                        </w:rPr>
                        <w:t xml:space="preserve">Métadonnées standardisées et rapports de qualité orientés </w:t>
                      </w:r>
                      <w:r>
                        <w:rPr>
                          <w:b/>
                          <w:bCs/>
                          <w:color w:val="000000" w:themeColor="text1"/>
                          <w:kern w:val="24"/>
                          <w:sz w:val="20"/>
                          <w:lang w:val="fr-FR"/>
                        </w:rPr>
                        <w:t xml:space="preserve">vers </w:t>
                      </w:r>
                      <w:r w:rsidRPr="004712F6">
                        <w:rPr>
                          <w:b/>
                          <w:bCs/>
                          <w:color w:val="000000" w:themeColor="text1"/>
                          <w:kern w:val="24"/>
                          <w:sz w:val="20"/>
                          <w:lang w:val="fr-FR"/>
                        </w:rPr>
                        <w:t>utilisateur</w:t>
                      </w:r>
                      <w:r>
                        <w:rPr>
                          <w:b/>
                          <w:bCs/>
                          <w:color w:val="000000" w:themeColor="text1"/>
                          <w:kern w:val="24"/>
                          <w:sz w:val="20"/>
                          <w:lang w:val="fr-FR"/>
                        </w:rPr>
                        <w:t>s</w:t>
                      </w:r>
                    </w:p>
                  </w:txbxContent>
                </v:textbox>
                <w10:wrap anchorx="margin"/>
              </v:rect>
            </w:pict>
          </mc:Fallback>
        </mc:AlternateContent>
      </w:r>
      <w:r w:rsidRPr="00755B0F">
        <w:rPr>
          <w:rFonts w:asciiTheme="majorBidi" w:hAnsiTheme="majorBidi" w:cstheme="majorBidi"/>
          <w:b/>
          <w:bCs/>
          <w:noProof/>
          <w:lang w:val="fr-FR" w:eastAsia="fr-FR"/>
        </w:rPr>
        <mc:AlternateContent>
          <mc:Choice Requires="wps">
            <w:drawing>
              <wp:anchor distT="0" distB="0" distL="114300" distR="114300" simplePos="0" relativeHeight="251671552" behindDoc="0" locked="0" layoutInCell="1" allowOverlap="1" wp14:anchorId="3F82F4C3" wp14:editId="1DF4A05A">
                <wp:simplePos x="0" y="0"/>
                <wp:positionH relativeFrom="margin">
                  <wp:align>right</wp:align>
                </wp:positionH>
                <wp:positionV relativeFrom="paragraph">
                  <wp:posOffset>4081780</wp:posOffset>
                </wp:positionV>
                <wp:extent cx="5942965" cy="461665"/>
                <wp:effectExtent l="0" t="0" r="0" b="0"/>
                <wp:wrapNone/>
                <wp:docPr id="5" name="TextBox 4">
                  <a:extLst xmlns:a="http://schemas.openxmlformats.org/drawingml/2006/main">
                    <a:ext uri="{FF2B5EF4-FFF2-40B4-BE49-F238E27FC236}">
                      <a16:creationId xmlns:a16="http://schemas.microsoft.com/office/drawing/2014/main" id="{25C30DCA-22A0-26B3-2243-054C37C7FE38}"/>
                    </a:ext>
                  </a:extLst>
                </wp:docPr>
                <wp:cNvGraphicFramePr/>
                <a:graphic xmlns:a="http://schemas.openxmlformats.org/drawingml/2006/main">
                  <a:graphicData uri="http://schemas.microsoft.com/office/word/2010/wordprocessingShape">
                    <wps:wsp>
                      <wps:cNvSpPr txBox="1"/>
                      <wps:spPr>
                        <a:xfrm>
                          <a:off x="0" y="0"/>
                          <a:ext cx="5942965" cy="461665"/>
                        </a:xfrm>
                        <a:prstGeom prst="rect">
                          <a:avLst/>
                        </a:prstGeom>
                        <a:noFill/>
                      </wps:spPr>
                      <wps:txbx>
                        <w:txbxContent>
                          <w:p w14:paraId="2CD8A1B6" w14:textId="16A5F6BF" w:rsidR="001A5F74" w:rsidRPr="00755B0F" w:rsidRDefault="001A5F74" w:rsidP="00B630EF">
                            <w:pPr>
                              <w:rPr>
                                <w:rFonts w:ascii="Times New Roman" w:hAnsi="Times New Roman" w:cs="Times New Roman"/>
                                <w:color w:val="000000" w:themeColor="text1"/>
                                <w:kern w:val="24"/>
                                <w:sz w:val="28"/>
                                <w:szCs w:val="28"/>
                              </w:rPr>
                            </w:pPr>
                            <w:r w:rsidRPr="00D62782">
                              <w:rPr>
                                <w:rFonts w:ascii="Times New Roman" w:hAnsi="Times New Roman" w:cs="Times New Roman"/>
                                <w:color w:val="000000" w:themeColor="text1"/>
                                <w:kern w:val="24"/>
                                <w:sz w:val="24"/>
                                <w:szCs w:val="24"/>
                                <w:lang w:val="fr-FR"/>
                              </w:rPr>
                              <w:t xml:space="preserve">* </w:t>
                            </w:r>
                            <w:r w:rsidRPr="00AA3C5F">
                              <w:rPr>
                                <w:rFonts w:ascii="Times New Roman" w:hAnsi="Times New Roman" w:cs="Times New Roman"/>
                                <w:color w:val="000000" w:themeColor="text1"/>
                                <w:kern w:val="24"/>
                                <w:sz w:val="24"/>
                                <w:szCs w:val="24"/>
                                <w:lang w:val="fr-FR"/>
                              </w:rPr>
                              <w:t>Les chiffres entre parenthèses indiquent le lien avec les exigences ou principes pertinents du CNA</w:t>
                            </w:r>
                            <w:r>
                              <w:rPr>
                                <w:rFonts w:ascii="Times New Roman" w:hAnsi="Times New Roman" w:cs="Times New Roman"/>
                                <w:color w:val="000000" w:themeColor="text1"/>
                                <w:kern w:val="24"/>
                                <w:sz w:val="24"/>
                                <w:szCs w:val="24"/>
                                <w:lang w:val="fr-FR"/>
                              </w:rPr>
                              <w:t>Q</w:t>
                            </w:r>
                            <w:r w:rsidRPr="00AA3C5F">
                              <w:rPr>
                                <w:rFonts w:ascii="Times New Roman" w:hAnsi="Times New Roman" w:cs="Times New Roman"/>
                                <w:color w:val="000000" w:themeColor="text1"/>
                                <w:kern w:val="24"/>
                                <w:sz w:val="24"/>
                                <w:szCs w:val="24"/>
                                <w:lang w:val="fr-FR"/>
                              </w:rPr>
                              <w:t xml:space="preserve"> de</w:t>
                            </w:r>
                            <w:r>
                              <w:rPr>
                                <w:rFonts w:ascii="Times New Roman" w:hAnsi="Times New Roman" w:cs="Times New Roman"/>
                                <w:color w:val="000000" w:themeColor="text1"/>
                                <w:kern w:val="24"/>
                                <w:sz w:val="24"/>
                                <w:szCs w:val="24"/>
                                <w:lang w:val="fr-FR"/>
                              </w:rPr>
                              <w:t xml:space="preserve">s Nations </w:t>
                            </w:r>
                            <w:r w:rsidR="00636ADB">
                              <w:rPr>
                                <w:rFonts w:ascii="Times New Roman" w:hAnsi="Times New Roman" w:cs="Times New Roman"/>
                                <w:color w:val="000000" w:themeColor="text1"/>
                                <w:kern w:val="24"/>
                                <w:sz w:val="24"/>
                                <w:szCs w:val="24"/>
                                <w:lang w:val="fr-FR"/>
                              </w:rPr>
                              <w:t>U</w:t>
                            </w:r>
                            <w:r>
                              <w:rPr>
                                <w:rFonts w:ascii="Times New Roman" w:hAnsi="Times New Roman" w:cs="Times New Roman"/>
                                <w:color w:val="000000" w:themeColor="text1"/>
                                <w:kern w:val="24"/>
                                <w:sz w:val="24"/>
                                <w:szCs w:val="24"/>
                                <w:lang w:val="fr-FR"/>
                              </w:rPr>
                              <w:t>nies</w:t>
                            </w:r>
                            <w:r w:rsidRPr="00AA3C5F">
                              <w:rPr>
                                <w:rFonts w:ascii="Times New Roman" w:hAnsi="Times New Roman" w:cs="Times New Roman"/>
                                <w:color w:val="000000" w:themeColor="text1"/>
                                <w:kern w:val="24"/>
                                <w:sz w:val="24"/>
                                <w:szCs w:val="24"/>
                                <w:lang w:val="fr-FR"/>
                              </w:rPr>
                              <w:t xml:space="preserve">. </w:t>
                            </w:r>
                            <w:r w:rsidRPr="00AA3C5F">
                              <w:rPr>
                                <w:rFonts w:ascii="Times New Roman" w:hAnsi="Times New Roman" w:cs="Times New Roman"/>
                                <w:color w:val="000000" w:themeColor="text1"/>
                                <w:kern w:val="24"/>
                                <w:sz w:val="24"/>
                                <w:szCs w:val="24"/>
                              </w:rPr>
                              <w:t>Les exigences pertinentes de</w:t>
                            </w:r>
                            <w:r>
                              <w:rPr>
                                <w:rFonts w:ascii="Times New Roman" w:hAnsi="Times New Roman" w:cs="Times New Roman"/>
                                <w:color w:val="000000" w:themeColor="text1"/>
                                <w:kern w:val="24"/>
                                <w:sz w:val="24"/>
                                <w:szCs w:val="24"/>
                              </w:rPr>
                              <w:t xml:space="preserve">s Nations </w:t>
                            </w:r>
                            <w:r w:rsidR="00636ADB">
                              <w:rPr>
                                <w:rFonts w:ascii="Times New Roman" w:hAnsi="Times New Roman" w:cs="Times New Roman"/>
                                <w:color w:val="000000" w:themeColor="text1"/>
                                <w:kern w:val="24"/>
                                <w:sz w:val="24"/>
                                <w:szCs w:val="24"/>
                              </w:rPr>
                              <w:t>U</w:t>
                            </w:r>
                            <w:r>
                              <w:rPr>
                                <w:rFonts w:ascii="Times New Roman" w:hAnsi="Times New Roman" w:cs="Times New Roman"/>
                                <w:color w:val="000000" w:themeColor="text1"/>
                                <w:kern w:val="24"/>
                                <w:sz w:val="24"/>
                                <w:szCs w:val="24"/>
                              </w:rPr>
                              <w:t>nies</w:t>
                            </w:r>
                            <w:r w:rsidRPr="00AA3C5F">
                              <w:rPr>
                                <w:rFonts w:ascii="Times New Roman" w:hAnsi="Times New Roman" w:cs="Times New Roman"/>
                                <w:color w:val="000000" w:themeColor="text1"/>
                                <w:kern w:val="24"/>
                                <w:sz w:val="24"/>
                                <w:szCs w:val="24"/>
                              </w:rPr>
                              <w:t xml:space="preserve"> sont énumérées à l'annexe 3.</w:t>
                            </w:r>
                          </w:p>
                        </w:txbxContent>
                      </wps:txbx>
                      <wps:bodyPr wrap="square" rtlCol="0">
                        <a:spAutoFit/>
                      </wps:bodyPr>
                    </wps:wsp>
                  </a:graphicData>
                </a:graphic>
                <wp14:sizeRelH relativeFrom="margin">
                  <wp14:pctWidth>0</wp14:pctWidth>
                </wp14:sizeRelH>
              </wp:anchor>
            </w:drawing>
          </mc:Choice>
          <mc:Fallback>
            <w:pict>
              <v:shapetype w14:anchorId="3F82F4C3" id="_x0000_t202" coordsize="21600,21600" o:spt="202" path="m,l,21600r21600,l21600,xe">
                <v:stroke joinstyle="miter"/>
                <v:path gradientshapeok="t" o:connecttype="rect"/>
              </v:shapetype>
              <v:shape id="TextBox 4" o:spid="_x0000_s1033" type="#_x0000_t202" style="position:absolute;margin-left:416.75pt;margin-top:321.4pt;width:467.95pt;height:36.35pt;z-index:2516715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" filled="f" stroked="f">
                <v:textbox style="mso-fit-shape-to-text:t">
                  <w:txbxContent>
                    <w:p w14:paraId="2CD8A1B6" w14:textId="16A5F6BF" w:rsidR="001A5F74" w:rsidRPr="00755B0F" w:rsidRDefault="001A5F74" w:rsidP="00B630EF">
                      <w:pPr>
                        <w:rPr>
                          <w:rFonts w:ascii="Times New Roman" w:hAnsi="Times New Roman" w:cs="Times New Roman"/>
                          <w:color w:val="000000" w:themeColor="text1"/>
                          <w:kern w:val="24"/>
                          <w:sz w:val="28"/>
                          <w:szCs w:val="28"/>
                        </w:rPr>
                      </w:pPr>
                      <w:r w:rsidRPr="00D62782">
                        <w:rPr>
                          <w:rFonts w:ascii="Times New Roman" w:hAnsi="Times New Roman" w:cs="Times New Roman"/>
                          <w:color w:val="000000" w:themeColor="text1"/>
                          <w:kern w:val="24"/>
                          <w:sz w:val="24"/>
                          <w:szCs w:val="24"/>
                          <w:lang w:val="fr-FR"/>
                        </w:rPr>
                        <w:t xml:space="preserve">* </w:t>
                      </w:r>
                      <w:r w:rsidRPr="00AA3C5F">
                        <w:rPr>
                          <w:rFonts w:ascii="Times New Roman" w:hAnsi="Times New Roman" w:cs="Times New Roman"/>
                          <w:color w:val="000000" w:themeColor="text1"/>
                          <w:kern w:val="24"/>
                          <w:sz w:val="24"/>
                          <w:szCs w:val="24"/>
                          <w:lang w:val="fr-FR"/>
                        </w:rPr>
                        <w:t>Les chiffres entre parenthèses indiquent le lien avec les exigences ou principes pertinents du CNA</w:t>
                      </w:r>
                      <w:r>
                        <w:rPr>
                          <w:rFonts w:ascii="Times New Roman" w:hAnsi="Times New Roman" w:cs="Times New Roman"/>
                          <w:color w:val="000000" w:themeColor="text1"/>
                          <w:kern w:val="24"/>
                          <w:sz w:val="24"/>
                          <w:szCs w:val="24"/>
                          <w:lang w:val="fr-FR"/>
                        </w:rPr>
                        <w:t>Q</w:t>
                      </w:r>
                      <w:r w:rsidRPr="00AA3C5F">
                        <w:rPr>
                          <w:rFonts w:ascii="Times New Roman" w:hAnsi="Times New Roman" w:cs="Times New Roman"/>
                          <w:color w:val="000000" w:themeColor="text1"/>
                          <w:kern w:val="24"/>
                          <w:sz w:val="24"/>
                          <w:szCs w:val="24"/>
                          <w:lang w:val="fr-FR"/>
                        </w:rPr>
                        <w:t xml:space="preserve"> de</w:t>
                      </w:r>
                      <w:r>
                        <w:rPr>
                          <w:rFonts w:ascii="Times New Roman" w:hAnsi="Times New Roman" w:cs="Times New Roman"/>
                          <w:color w:val="000000" w:themeColor="text1"/>
                          <w:kern w:val="24"/>
                          <w:sz w:val="24"/>
                          <w:szCs w:val="24"/>
                          <w:lang w:val="fr-FR"/>
                        </w:rPr>
                        <w:t xml:space="preserve">s Nations </w:t>
                      </w:r>
                      <w:r w:rsidR="00636ADB">
                        <w:rPr>
                          <w:rFonts w:ascii="Times New Roman" w:hAnsi="Times New Roman" w:cs="Times New Roman"/>
                          <w:color w:val="000000" w:themeColor="text1"/>
                          <w:kern w:val="24"/>
                          <w:sz w:val="24"/>
                          <w:szCs w:val="24"/>
                          <w:lang w:val="fr-FR"/>
                        </w:rPr>
                        <w:t>U</w:t>
                      </w:r>
                      <w:r>
                        <w:rPr>
                          <w:rFonts w:ascii="Times New Roman" w:hAnsi="Times New Roman" w:cs="Times New Roman"/>
                          <w:color w:val="000000" w:themeColor="text1"/>
                          <w:kern w:val="24"/>
                          <w:sz w:val="24"/>
                          <w:szCs w:val="24"/>
                          <w:lang w:val="fr-FR"/>
                        </w:rPr>
                        <w:t>nies</w:t>
                      </w:r>
                      <w:r w:rsidRPr="00AA3C5F">
                        <w:rPr>
                          <w:rFonts w:ascii="Times New Roman" w:hAnsi="Times New Roman" w:cs="Times New Roman"/>
                          <w:color w:val="000000" w:themeColor="text1"/>
                          <w:kern w:val="24"/>
                          <w:sz w:val="24"/>
                          <w:szCs w:val="24"/>
                          <w:lang w:val="fr-FR"/>
                        </w:rPr>
                        <w:t xml:space="preserve">. </w:t>
                      </w:r>
                      <w:r w:rsidRPr="00AA3C5F">
                        <w:rPr>
                          <w:rFonts w:ascii="Times New Roman" w:hAnsi="Times New Roman" w:cs="Times New Roman"/>
                          <w:color w:val="000000" w:themeColor="text1"/>
                          <w:kern w:val="24"/>
                          <w:sz w:val="24"/>
                          <w:szCs w:val="24"/>
                        </w:rPr>
                        <w:t>Les exigences pertinentes de</w:t>
                      </w:r>
                      <w:r>
                        <w:rPr>
                          <w:rFonts w:ascii="Times New Roman" w:hAnsi="Times New Roman" w:cs="Times New Roman"/>
                          <w:color w:val="000000" w:themeColor="text1"/>
                          <w:kern w:val="24"/>
                          <w:sz w:val="24"/>
                          <w:szCs w:val="24"/>
                        </w:rPr>
                        <w:t xml:space="preserve">s Nations </w:t>
                      </w:r>
                      <w:r w:rsidR="00636ADB">
                        <w:rPr>
                          <w:rFonts w:ascii="Times New Roman" w:hAnsi="Times New Roman" w:cs="Times New Roman"/>
                          <w:color w:val="000000" w:themeColor="text1"/>
                          <w:kern w:val="24"/>
                          <w:sz w:val="24"/>
                          <w:szCs w:val="24"/>
                        </w:rPr>
                        <w:t>U</w:t>
                      </w:r>
                      <w:r>
                        <w:rPr>
                          <w:rFonts w:ascii="Times New Roman" w:hAnsi="Times New Roman" w:cs="Times New Roman"/>
                          <w:color w:val="000000" w:themeColor="text1"/>
                          <w:kern w:val="24"/>
                          <w:sz w:val="24"/>
                          <w:szCs w:val="24"/>
                        </w:rPr>
                        <w:t>nies</w:t>
                      </w:r>
                      <w:r w:rsidRPr="00AA3C5F">
                        <w:rPr>
                          <w:rFonts w:ascii="Times New Roman" w:hAnsi="Times New Roman" w:cs="Times New Roman"/>
                          <w:color w:val="000000" w:themeColor="text1"/>
                          <w:kern w:val="24"/>
                          <w:sz w:val="24"/>
                          <w:szCs w:val="24"/>
                        </w:rPr>
                        <w:t xml:space="preserve"> sont énumérées à l'annexe 3.</w:t>
                      </w:r>
                    </w:p>
                  </w:txbxContent>
                </v:textbox>
                <w10:wrap anchorx="margin"/>
              </v:shape>
            </w:pict>
          </mc:Fallback>
        </mc:AlternateContent>
      </w:r>
      <w:r w:rsidRPr="008268C4">
        <w:rPr>
          <w:rFonts w:asciiTheme="majorBidi" w:hAnsiTheme="majorBidi" w:cstheme="majorBidi"/>
          <w:b/>
          <w:bCs/>
          <w:lang w:val="fr-FR"/>
        </w:rPr>
        <w:br w:type="page"/>
      </w:r>
    </w:p>
    <w:p w14:paraId="6B4F58AF" w14:textId="2871A3C3" w:rsidR="00CE1364" w:rsidRDefault="005430FB" w:rsidP="00B630EF">
      <w:pPr>
        <w:pStyle w:val="P68B1DB1-Normal4"/>
      </w:pPr>
      <w:r>
        <w:lastRenderedPageBreak/>
        <w:t>Partie 2: Liste de contrôle de</w:t>
      </w:r>
      <w:r w:rsidR="00236EA9">
        <w:t>s</w:t>
      </w:r>
      <w:r>
        <w:t xml:space="preserve"> dix exigences </w:t>
      </w:r>
      <w:r w:rsidR="00636ADB">
        <w:t>essentielles</w:t>
      </w:r>
    </w:p>
    <w:p w14:paraId="720A8973" w14:textId="77777777" w:rsidR="00CE1364" w:rsidRDefault="00CE1364">
      <w:pPr>
        <w:spacing w:after="0" w:line="240" w:lineRule="auto"/>
        <w:rPr>
          <w:rFonts w:ascii="Times New Roman" w:hAnsi="Times New Roman" w:cs="Times New Roman"/>
          <w:sz w:val="24"/>
        </w:rPr>
      </w:pPr>
    </w:p>
    <w:p w14:paraId="75BA6026" w14:textId="0E19276E" w:rsidR="00CE1364" w:rsidRDefault="005430FB">
      <w:pPr>
        <w:pStyle w:val="ListParagraph"/>
        <w:numPr>
          <w:ilvl w:val="0"/>
          <w:numId w:val="22"/>
        </w:numPr>
        <w:ind w:left="0" w:firstLine="0"/>
      </w:pPr>
      <w:r>
        <w:t xml:space="preserve">La partie 2 présente une liste de contrôle de dix exigences essentielles qui fournissent des orientations </w:t>
      </w:r>
      <w:r w:rsidR="003136BB">
        <w:t xml:space="preserve">spécifiques </w:t>
      </w:r>
      <w:r>
        <w:t>et détaillées pour assurer la qualité lors de l’utilisation de</w:t>
      </w:r>
      <w:r w:rsidR="00636ADB">
        <w:t>s</w:t>
      </w:r>
      <w:r>
        <w:t xml:space="preserve"> données administratives et autres </w:t>
      </w:r>
      <w:r w:rsidR="003136BB">
        <w:t xml:space="preserve">sources de données </w:t>
      </w:r>
      <w:r>
        <w:t xml:space="preserve">pour produire </w:t>
      </w:r>
      <w:r w:rsidR="00636ADB">
        <w:t xml:space="preserve">les </w:t>
      </w:r>
      <w:r>
        <w:t xml:space="preserve">statistiques officielles. La liste de contrôle est complémentaire à l’utilisation du </w:t>
      </w:r>
      <w:r w:rsidR="003136BB">
        <w:t xml:space="preserve">CNAQ </w:t>
      </w:r>
      <w:r>
        <w:t>et n</w:t>
      </w:r>
      <w:r w:rsidR="003136BB">
        <w:t>e s’y</w:t>
      </w:r>
      <w:r>
        <w:t xml:space="preserve"> substitu</w:t>
      </w:r>
      <w:r w:rsidR="003136BB">
        <w:t>e pas</w:t>
      </w:r>
      <w:r>
        <w:t>. Les dix exigences sont considérées comme essentielles</w:t>
      </w:r>
      <w:r w:rsidR="003136BB">
        <w:t xml:space="preserve"> car</w:t>
      </w:r>
      <w:r>
        <w:t xml:space="preserve">, sans elles, la qualité des statistiques officielles </w:t>
      </w:r>
      <w:r w:rsidR="003136BB">
        <w:t xml:space="preserve">produites à partir </w:t>
      </w:r>
      <w:r>
        <w:t>de</w:t>
      </w:r>
      <w:r w:rsidR="00636ADB">
        <w:t>s</w:t>
      </w:r>
      <w:r>
        <w:t xml:space="preserve"> données administratives et autres </w:t>
      </w:r>
      <w:r w:rsidR="00636ADB">
        <w:t xml:space="preserve">sources de données </w:t>
      </w:r>
      <w:r>
        <w:t xml:space="preserve">peut ne pas être suffisamment </w:t>
      </w:r>
      <w:r w:rsidR="003136BB">
        <w:t>garantie</w:t>
      </w:r>
      <w:r>
        <w:t xml:space="preserve">. </w:t>
      </w:r>
    </w:p>
    <w:p w14:paraId="40835EAC" w14:textId="77777777" w:rsidR="00CE1364" w:rsidRDefault="00CE1364">
      <w:pPr>
        <w:pStyle w:val="ListParagraph"/>
        <w:ind w:left="0"/>
      </w:pPr>
    </w:p>
    <w:p w14:paraId="3F6271EF" w14:textId="6AB34EAD" w:rsidR="00CE1364" w:rsidRDefault="005430FB" w:rsidP="00A27CE7">
      <w:pPr>
        <w:pStyle w:val="ListParagraph"/>
        <w:numPr>
          <w:ilvl w:val="0"/>
          <w:numId w:val="22"/>
        </w:numPr>
        <w:ind w:left="0" w:firstLine="0"/>
      </w:pPr>
      <w:r>
        <w:t>Les dix exigences essentielles sont étayées par un ensemble de pratiques suggérées (ou «meilleures») qui ont été identifiées lors d’un examen approfondi d’un vaste ensemble de pratiques nationales et de documents d’orientation.</w:t>
      </w:r>
      <w:r>
        <w:rPr>
          <w:rStyle w:val="FootnoteReference"/>
        </w:rPr>
        <w:footnoteReference w:id="13"/>
      </w:r>
      <w:r>
        <w:t xml:space="preserve"> Ces pratiques suggérées sont souvent plus détaillées que les éléments à garantir </w:t>
      </w:r>
      <w:r w:rsidR="003136BB">
        <w:t xml:space="preserve">dans le CNAQ des Nations </w:t>
      </w:r>
      <w:r w:rsidR="00636ADB">
        <w:t>U</w:t>
      </w:r>
      <w:r w:rsidR="003136BB">
        <w:t>nies</w:t>
      </w:r>
      <w:r>
        <w:t>. La raison en est que le CN</w:t>
      </w:r>
      <w:r w:rsidR="00610804">
        <w:t xml:space="preserve">AQ des Nations </w:t>
      </w:r>
      <w:r w:rsidR="00636ADB">
        <w:t>U</w:t>
      </w:r>
      <w:r w:rsidR="00610804">
        <w:t xml:space="preserve">nies est </w:t>
      </w:r>
      <w:r>
        <w:t xml:space="preserve">générique, </w:t>
      </w:r>
      <w:r w:rsidR="00610804">
        <w:t xml:space="preserve">tandis </w:t>
      </w:r>
      <w:r>
        <w:t xml:space="preserve">que </w:t>
      </w:r>
      <w:r w:rsidR="00610804">
        <w:t xml:space="preserve">la présente </w:t>
      </w:r>
      <w:r>
        <w:t xml:space="preserve">liste de contrôle vise à fournir des orientations plus </w:t>
      </w:r>
      <w:r w:rsidR="00610804">
        <w:t xml:space="preserve">spécifiques </w:t>
      </w:r>
      <w:r>
        <w:t>sur l’utilisation des données administratives et autres</w:t>
      </w:r>
      <w:r w:rsidR="00610804">
        <w:t xml:space="preserve"> sources de données</w:t>
      </w:r>
      <w:r>
        <w:t xml:space="preserve">. Les utilisateurs qui ont déjà </w:t>
      </w:r>
      <w:r w:rsidR="00610804">
        <w:t xml:space="preserve">pris l’habitude </w:t>
      </w:r>
      <w:r>
        <w:t xml:space="preserve">d’assurer la qualité de leurs statistiques officielles lorsqu’ils utilisent </w:t>
      </w:r>
      <w:r w:rsidR="00636ADB">
        <w:t xml:space="preserve">les </w:t>
      </w:r>
      <w:r>
        <w:t xml:space="preserve">données administratives et autres </w:t>
      </w:r>
      <w:r w:rsidR="00610804">
        <w:t xml:space="preserve">sources de données </w:t>
      </w:r>
      <w:r>
        <w:t xml:space="preserve">peuvent trouver cette liste de contrôle utile </w:t>
      </w:r>
      <w:r w:rsidR="00610804">
        <w:t xml:space="preserve">en tant que </w:t>
      </w:r>
      <w:r>
        <w:t xml:space="preserve">point de référence supplémentaire pour valider leurs pratiques existantes. </w:t>
      </w:r>
    </w:p>
    <w:p w14:paraId="30884C35" w14:textId="77777777" w:rsidR="00CE1364" w:rsidRDefault="00CE1364">
      <w:pPr>
        <w:pStyle w:val="ListParagraph"/>
      </w:pPr>
    </w:p>
    <w:p w14:paraId="5A276521" w14:textId="38747E89" w:rsidR="00CE1364" w:rsidRDefault="005430FB">
      <w:pPr>
        <w:pStyle w:val="ListParagraph"/>
        <w:numPr>
          <w:ilvl w:val="0"/>
          <w:numId w:val="22"/>
        </w:numPr>
        <w:ind w:left="0" w:firstLine="0"/>
        <w:rPr>
          <w:rFonts w:asciiTheme="majorBidi" w:hAnsiTheme="majorBidi" w:cstheme="majorBidi"/>
          <w:kern w:val="24"/>
        </w:rPr>
      </w:pPr>
      <w:r>
        <w:t xml:space="preserve"> La liste de contrôle de dix exigences </w:t>
      </w:r>
      <w:r w:rsidR="00610804">
        <w:t xml:space="preserve">essentielles </w:t>
      </w:r>
      <w:r>
        <w:t xml:space="preserve">est étroitement liée aux actions et aux considérations générales de l’approche conceptuelle de la </w:t>
      </w:r>
      <w:r>
        <w:rPr>
          <w:color w:val="000000" w:themeColor="text1"/>
        </w:rPr>
        <w:t>figure 1</w:t>
      </w:r>
      <w:r>
        <w:t>. L’approche conceptuelle fournit une structure et une compréhension globales pour l’utilisation de</w:t>
      </w:r>
      <w:r w:rsidR="00636ADB">
        <w:t>s</w:t>
      </w:r>
      <w:r>
        <w:t xml:space="preserve"> données administratives et autres </w:t>
      </w:r>
      <w:r w:rsidR="00756529">
        <w:t xml:space="preserve">sources de données </w:t>
      </w:r>
      <w:r>
        <w:t>pour la production de</w:t>
      </w:r>
      <w:r w:rsidR="00636ADB">
        <w:t>s</w:t>
      </w:r>
      <w:r>
        <w:t xml:space="preserve"> statistiques officielles. La liste de contrôle de</w:t>
      </w:r>
      <w:r w:rsidR="00756529">
        <w:t>s</w:t>
      </w:r>
      <w:r>
        <w:t xml:space="preserve"> dix exigences </w:t>
      </w:r>
      <w:r w:rsidR="00756529">
        <w:t xml:space="preserve">essentielles </w:t>
      </w:r>
      <w:r>
        <w:t>fournit un outil concret et des orientations pratiques à cet égard et complète l’utilisation d’un CN</w:t>
      </w:r>
      <w:r w:rsidR="00756529">
        <w:t>AQ</w:t>
      </w:r>
      <w:r>
        <w:t xml:space="preserve">. </w:t>
      </w:r>
      <w:r w:rsidR="00636ADB">
        <w:t>Elle</w:t>
      </w:r>
      <w:r>
        <w:t xml:space="preserve"> contient des exigences qui ne sont pas </w:t>
      </w:r>
      <w:r w:rsidR="00756529">
        <w:t>abordées</w:t>
      </w:r>
      <w:r>
        <w:t xml:space="preserve"> ou qui ne sont pas suffisamment reflétées dans les CN</w:t>
      </w:r>
      <w:r w:rsidR="00756529">
        <w:t>A</w:t>
      </w:r>
      <w:r>
        <w:t>Q lors de l’utilisation de</w:t>
      </w:r>
      <w:r w:rsidR="00636ADB">
        <w:t>s</w:t>
      </w:r>
      <w:r>
        <w:t xml:space="preserve"> données administratives et autres</w:t>
      </w:r>
      <w:r w:rsidR="00756529">
        <w:t xml:space="preserve"> sources de données</w:t>
      </w:r>
      <w:r>
        <w:t>, et pourraient être utilisées pour mettre à jour les CN</w:t>
      </w:r>
      <w:r w:rsidR="00756529">
        <w:t>A</w:t>
      </w:r>
      <w:r>
        <w:t>Q</w:t>
      </w:r>
      <w:r w:rsidR="00636ADB">
        <w:t xml:space="preserve"> ou </w:t>
      </w:r>
      <w:r>
        <w:t>CN</w:t>
      </w:r>
      <w:r w:rsidR="00756529">
        <w:t>AQ</w:t>
      </w:r>
      <w:r>
        <w:t xml:space="preserve"> des Nations Unies.</w:t>
      </w:r>
      <w:r>
        <w:rPr>
          <w:rStyle w:val="FootnoteReference"/>
        </w:rPr>
        <w:footnoteReference w:id="14"/>
      </w:r>
      <w:r>
        <w:t xml:space="preserve"> </w:t>
      </w:r>
      <w:r w:rsidR="00636ADB">
        <w:t>Elle</w:t>
      </w:r>
      <w:r>
        <w:t xml:space="preserve"> ne fait aucune distinction entre une source de données nouvellement explorée </w:t>
      </w:r>
      <w:r w:rsidR="00756529">
        <w:t>et une sources de données</w:t>
      </w:r>
      <w:r>
        <w:t xml:space="preserve"> déjà acquise et utilisée régulièrement. </w:t>
      </w:r>
    </w:p>
    <w:p w14:paraId="177FE9AD" w14:textId="77777777" w:rsidR="00CE1364" w:rsidRDefault="00CE1364">
      <w:pPr>
        <w:pStyle w:val="ListParagraph"/>
        <w:rPr>
          <w:rFonts w:asciiTheme="majorBidi" w:hAnsiTheme="majorBidi" w:cstheme="majorBidi"/>
          <w:kern w:val="24"/>
        </w:rPr>
      </w:pPr>
    </w:p>
    <w:p w14:paraId="11EEF6D4" w14:textId="41A8B786" w:rsidR="00CE1364" w:rsidRDefault="005430FB">
      <w:pPr>
        <w:pStyle w:val="P68B1DB1-ListParagraph7"/>
        <w:ind w:left="0"/>
        <w:contextualSpacing w:val="0"/>
      </w:pPr>
      <w:r>
        <w:t>Encadré 2: Cas particulier de</w:t>
      </w:r>
      <w:r w:rsidR="00636ADB">
        <w:t>s</w:t>
      </w:r>
      <w:r>
        <w:t xml:space="preserve"> données publi</w:t>
      </w:r>
      <w:r w:rsidR="00E10875">
        <w:t>ques</w:t>
      </w:r>
    </w:p>
    <w:p w14:paraId="5DB8B48A" w14:textId="490B1508" w:rsidR="00CE1364" w:rsidRDefault="00E10875">
      <w:pPr>
        <w:pStyle w:val="P68B1DB1-ListParagraph8"/>
        <w:pBdr>
          <w:top w:val="single" w:sz="4" w:space="1" w:color="auto"/>
          <w:left w:val="single" w:sz="4" w:space="4" w:color="auto"/>
          <w:bottom w:val="single" w:sz="4" w:space="1" w:color="auto"/>
          <w:right w:val="single" w:sz="4" w:space="4" w:color="auto"/>
        </w:pBdr>
        <w:ind w:left="0"/>
        <w:contextualSpacing w:val="0"/>
      </w:pPr>
      <w:r>
        <w:t>La majorité</w:t>
      </w:r>
      <w:r w:rsidR="005430FB">
        <w:t xml:space="preserve"> des dix exigences </w:t>
      </w:r>
      <w:r w:rsidR="00756529">
        <w:t xml:space="preserve">essentielles </w:t>
      </w:r>
      <w:r w:rsidR="005430FB">
        <w:t xml:space="preserve">font référence aux fournisseurs de données en tant que détenteur ou propriétaire des données d’une source de données particulière qui </w:t>
      </w:r>
      <w:r>
        <w:t>les rendront</w:t>
      </w:r>
      <w:r w:rsidR="00756529">
        <w:t xml:space="preserve"> </w:t>
      </w:r>
      <w:r w:rsidR="005430FB">
        <w:t xml:space="preserve">disponibles à des fins statistiques. Cependant, il existe également des sources de données telles que les médias sociaux et les méthodes d’acquisition de données telles que le </w:t>
      </w:r>
      <w:r w:rsidR="00695955">
        <w:t>« </w:t>
      </w:r>
      <w:r w:rsidR="005430FB">
        <w:t>web-scraping</w:t>
      </w:r>
      <w:r w:rsidR="00695955">
        <w:t> »,</w:t>
      </w:r>
      <w:r w:rsidR="005430FB">
        <w:t xml:space="preserve"> où les données </w:t>
      </w:r>
      <w:r>
        <w:t xml:space="preserve">publiques </w:t>
      </w:r>
      <w:r w:rsidR="005430FB">
        <w:t>sont directement</w:t>
      </w:r>
      <w:r w:rsidR="00695955">
        <w:t xml:space="preserve"> exploitées </w:t>
      </w:r>
      <w:r w:rsidR="005430FB">
        <w:t xml:space="preserve">par l’organisme statistique sans nécessairement </w:t>
      </w:r>
      <w:r w:rsidR="00695955">
        <w:t xml:space="preserve">s’engager dans </w:t>
      </w:r>
      <w:r w:rsidR="005430FB">
        <w:t>une relation avec le</w:t>
      </w:r>
      <w:r>
        <w:t>urs</w:t>
      </w:r>
      <w:r w:rsidR="005430FB">
        <w:t xml:space="preserve"> détenteur</w:t>
      </w:r>
      <w:r>
        <w:t>s</w:t>
      </w:r>
      <w:r w:rsidR="005430FB">
        <w:t xml:space="preserve"> ou le propriétaire</w:t>
      </w:r>
      <w:r>
        <w:t>s</w:t>
      </w:r>
      <w:r w:rsidR="005430FB">
        <w:t xml:space="preserve">. Des </w:t>
      </w:r>
      <w:r w:rsidR="005430FB">
        <w:lastRenderedPageBreak/>
        <w:t xml:space="preserve">considérations juridiques et éthiques particulières peuvent s’appliquer dans de tels cas, </w:t>
      </w:r>
      <w:r w:rsidR="00695955">
        <w:t xml:space="preserve">tandis </w:t>
      </w:r>
      <w:r w:rsidR="005430FB">
        <w:t xml:space="preserve">que certaines des exigences </w:t>
      </w:r>
      <w:r w:rsidR="00695955">
        <w:t xml:space="preserve">essentielles </w:t>
      </w:r>
      <w:r w:rsidR="005430FB">
        <w:t xml:space="preserve">ne </w:t>
      </w:r>
      <w:r>
        <w:t>le sont</w:t>
      </w:r>
      <w:r w:rsidR="005430FB">
        <w:t xml:space="preserve"> pas. </w:t>
      </w:r>
    </w:p>
    <w:p w14:paraId="2AC38D44" w14:textId="77777777" w:rsidR="00E10875" w:rsidRDefault="00E10875">
      <w:pPr>
        <w:pStyle w:val="P68B1DB1-Normal9"/>
      </w:pPr>
    </w:p>
    <w:p w14:paraId="3E30E7A9" w14:textId="4932B95C" w:rsidR="00CE1364" w:rsidRDefault="00E10875">
      <w:pPr>
        <w:pStyle w:val="P68B1DB1-Normal9"/>
      </w:pPr>
      <w:r>
        <w:t xml:space="preserve">Les </w:t>
      </w:r>
      <w:r w:rsidR="005430FB">
        <w:t xml:space="preserve">Dix Exigences </w:t>
      </w:r>
      <w:r>
        <w:t>essentielles</w:t>
      </w:r>
    </w:p>
    <w:p w14:paraId="6436D3C4" w14:textId="5A1E2905" w:rsidR="00CE1364" w:rsidRDefault="005430FB">
      <w:pPr>
        <w:pStyle w:val="ListParagraph"/>
        <w:numPr>
          <w:ilvl w:val="0"/>
          <w:numId w:val="1"/>
        </w:numPr>
        <w:rPr>
          <w:rFonts w:asciiTheme="majorBidi" w:eastAsiaTheme="minorEastAsia" w:hAnsiTheme="majorBidi" w:cstheme="majorBidi"/>
          <w:i/>
          <w:kern w:val="24"/>
        </w:rPr>
      </w:pPr>
      <w:r>
        <w:rPr>
          <w:rFonts w:asciiTheme="majorBidi" w:hAnsiTheme="majorBidi" w:cstheme="majorBidi"/>
          <w:b/>
        </w:rPr>
        <w:t>L’utilisation de</w:t>
      </w:r>
      <w:r w:rsidR="00E10875">
        <w:rPr>
          <w:rFonts w:asciiTheme="majorBidi" w:hAnsiTheme="majorBidi" w:cstheme="majorBidi"/>
          <w:b/>
        </w:rPr>
        <w:t>s</w:t>
      </w:r>
      <w:r>
        <w:rPr>
          <w:rFonts w:asciiTheme="majorBidi" w:hAnsiTheme="majorBidi" w:cstheme="majorBidi"/>
          <w:b/>
        </w:rPr>
        <w:t xml:space="preserve"> données administratives et autres</w:t>
      </w:r>
      <w:r w:rsidR="00353C89">
        <w:rPr>
          <w:rFonts w:asciiTheme="majorBidi" w:hAnsiTheme="majorBidi" w:cstheme="majorBidi"/>
          <w:b/>
        </w:rPr>
        <w:t xml:space="preserve"> sources de données</w:t>
      </w:r>
      <w:r>
        <w:rPr>
          <w:rFonts w:asciiTheme="majorBidi" w:hAnsiTheme="majorBidi" w:cstheme="majorBidi"/>
          <w:b/>
        </w:rPr>
        <w:t xml:space="preserve"> doit répondre à un ensemble de conditions préalables et tenir compte des besoins des utilisateurs.</w:t>
      </w:r>
      <w:r>
        <w:rPr>
          <w:rFonts w:asciiTheme="majorBidi" w:hAnsiTheme="majorBidi" w:cstheme="majorBidi"/>
        </w:rPr>
        <w:t xml:space="preserve"> Cette exigence </w:t>
      </w:r>
      <w:r w:rsidR="00353C89">
        <w:rPr>
          <w:rFonts w:asciiTheme="majorBidi" w:hAnsiTheme="majorBidi" w:cstheme="majorBidi"/>
        </w:rPr>
        <w:t xml:space="preserve">essentielle </w:t>
      </w:r>
      <w:r>
        <w:rPr>
          <w:rFonts w:asciiTheme="majorBidi" w:hAnsiTheme="majorBidi" w:cstheme="majorBidi"/>
        </w:rPr>
        <w:t>résume les conditions préalables</w:t>
      </w:r>
      <w:r w:rsidR="00353C89">
        <w:rPr>
          <w:rFonts w:asciiTheme="majorBidi" w:hAnsiTheme="majorBidi" w:cstheme="majorBidi"/>
        </w:rPr>
        <w:t xml:space="preserve"> d’</w:t>
      </w:r>
      <w:r>
        <w:t xml:space="preserve">accès aux données et à la confidentialité, ainsi que la prise en compte des besoins des utilisateurs qui sont bien </w:t>
      </w:r>
      <w:r w:rsidR="00E10875">
        <w:t>reflectés</w:t>
      </w:r>
      <w:r>
        <w:t xml:space="preserve"> dans le CN</w:t>
      </w:r>
      <w:r w:rsidR="00353C89">
        <w:t>A</w:t>
      </w:r>
      <w:r>
        <w:t>Q des Nations Unies et d’autres cadres d’assurance de la qualité couramment utilisés, mais nécessitent une attention particulière lors de l’utilisation de</w:t>
      </w:r>
      <w:r w:rsidR="00E10875">
        <w:t>s</w:t>
      </w:r>
      <w:r>
        <w:t xml:space="preserve"> données administratives et autres</w:t>
      </w:r>
      <w:r w:rsidR="00445CBB">
        <w:t xml:space="preserve"> sources de données</w:t>
      </w:r>
      <w:r>
        <w:t xml:space="preserve">. Cette exigence </w:t>
      </w:r>
      <w:r w:rsidR="00445CBB">
        <w:t xml:space="preserve">essentielle </w:t>
      </w:r>
      <w:r>
        <w:t xml:space="preserve">est reflétée dans les conditions préalables importantes et </w:t>
      </w:r>
      <w:r>
        <w:rPr>
          <w:rFonts w:asciiTheme="majorBidi" w:eastAsiaTheme="minorEastAsia" w:hAnsiTheme="majorBidi" w:cstheme="majorBidi"/>
          <w:kern w:val="24"/>
        </w:rPr>
        <w:t>l</w:t>
      </w:r>
      <w:r w:rsidR="00445CBB">
        <w:rPr>
          <w:rFonts w:asciiTheme="majorBidi" w:eastAsiaTheme="minorEastAsia" w:hAnsiTheme="majorBidi" w:cstheme="majorBidi"/>
          <w:kern w:val="24"/>
        </w:rPr>
        <w:t xml:space="preserve">a </w:t>
      </w:r>
      <w:r w:rsidR="00E10875">
        <w:rPr>
          <w:rFonts w:asciiTheme="majorBidi" w:eastAsiaTheme="minorEastAsia" w:hAnsiTheme="majorBidi" w:cstheme="majorBidi"/>
          <w:kern w:val="24"/>
        </w:rPr>
        <w:t>C</w:t>
      </w:r>
      <w:r w:rsidR="00445CBB">
        <w:rPr>
          <w:rFonts w:asciiTheme="majorBidi" w:eastAsiaTheme="minorEastAsia" w:hAnsiTheme="majorBidi" w:cstheme="majorBidi"/>
          <w:kern w:val="24"/>
        </w:rPr>
        <w:t xml:space="preserve">onsidération générale </w:t>
      </w:r>
      <w:r>
        <w:rPr>
          <w:rFonts w:asciiTheme="majorBidi" w:eastAsiaTheme="minorEastAsia" w:hAnsiTheme="majorBidi" w:cstheme="majorBidi"/>
          <w:kern w:val="24"/>
        </w:rPr>
        <w:t>1 de l’approche conceptuelle présentée à la figure 1.</w:t>
      </w:r>
      <w:r>
        <w:rPr>
          <w:rFonts w:asciiTheme="majorBidi" w:eastAsiaTheme="minorEastAsia" w:hAnsiTheme="majorBidi" w:cstheme="majorBidi"/>
          <w:i/>
          <w:kern w:val="24"/>
        </w:rPr>
        <w:t xml:space="preserve"> </w:t>
      </w:r>
    </w:p>
    <w:p w14:paraId="7450B707" w14:textId="77777777" w:rsidR="00CE1364" w:rsidRDefault="00CE1364">
      <w:pPr>
        <w:pStyle w:val="ListParagraph"/>
        <w:rPr>
          <w:rFonts w:asciiTheme="majorBidi" w:eastAsiaTheme="minorEastAsia" w:hAnsiTheme="majorBidi" w:cstheme="majorBidi"/>
          <w:i/>
          <w:kern w:val="24"/>
        </w:rPr>
      </w:pPr>
    </w:p>
    <w:p w14:paraId="36C24FCE" w14:textId="51C4572A" w:rsidR="00CE1364" w:rsidRDefault="005430FB">
      <w:pPr>
        <w:pStyle w:val="P68B1DB1-ListParagraph10"/>
      </w:pPr>
      <w:r>
        <w:t>Pratiques suggérées</w:t>
      </w:r>
    </w:p>
    <w:p w14:paraId="00A4178C" w14:textId="77777777" w:rsidR="00CE1364" w:rsidRDefault="00CE1364">
      <w:pPr>
        <w:pStyle w:val="ListParagraph"/>
        <w:rPr>
          <w:rFonts w:asciiTheme="majorBidi" w:eastAsiaTheme="minorEastAsia" w:hAnsiTheme="majorBidi" w:cstheme="majorBidi"/>
          <w:i/>
          <w:kern w:val="24"/>
        </w:rPr>
      </w:pPr>
    </w:p>
    <w:p w14:paraId="5F2B878E" w14:textId="4309C3CA" w:rsidR="00CE1364" w:rsidRDefault="00DE5085">
      <w:pPr>
        <w:pStyle w:val="P68B1DB1-ListParagraph11"/>
        <w:numPr>
          <w:ilvl w:val="0"/>
          <w:numId w:val="29"/>
        </w:numPr>
        <w:ind w:left="1296" w:hanging="576"/>
      </w:pPr>
      <w:r>
        <w:t>L’</w:t>
      </w:r>
      <w:r w:rsidR="005430FB">
        <w:t xml:space="preserve">accès </w:t>
      </w:r>
      <w:r>
        <w:t xml:space="preserve">aux données est </w:t>
      </w:r>
      <w:r w:rsidR="005430FB">
        <w:t>légal.</w:t>
      </w:r>
    </w:p>
    <w:p w14:paraId="1595DAEB" w14:textId="0BF92B55" w:rsidR="00CE1364" w:rsidRDefault="00DE5085">
      <w:pPr>
        <w:pStyle w:val="P68B1DB1-ListParagraph11"/>
        <w:numPr>
          <w:ilvl w:val="0"/>
          <w:numId w:val="29"/>
        </w:numPr>
        <w:ind w:left="1296" w:hanging="576"/>
      </w:pPr>
      <w:r>
        <w:t>L’</w:t>
      </w:r>
      <w:r w:rsidR="005430FB">
        <w:t>accès</w:t>
      </w:r>
      <w:r>
        <w:t xml:space="preserve"> aux données est effectif</w:t>
      </w:r>
      <w:r w:rsidR="005430FB">
        <w:t xml:space="preserve">. </w:t>
      </w:r>
    </w:p>
    <w:p w14:paraId="1D471688" w14:textId="2BF2155E" w:rsidR="00CE1364" w:rsidRDefault="005430FB">
      <w:pPr>
        <w:pStyle w:val="P68B1DB1-ListParagraph11"/>
        <w:numPr>
          <w:ilvl w:val="0"/>
          <w:numId w:val="29"/>
        </w:numPr>
        <w:ind w:left="1296" w:hanging="576"/>
      </w:pPr>
      <w:r>
        <w:t>La source de données est conforme aux lois et réglementations en vigueur (</w:t>
      </w:r>
      <w:r w:rsidR="00DE5085">
        <w:t>notamment,</w:t>
      </w:r>
      <w:r>
        <w:t xml:space="preserve"> le consentement des propriétaires de données, le cas échéant) et ses données peuvent légalement être utilisées pour produire </w:t>
      </w:r>
      <w:r w:rsidR="00E10875">
        <w:t xml:space="preserve">les </w:t>
      </w:r>
      <w:r>
        <w:t>statistiques officielles.</w:t>
      </w:r>
    </w:p>
    <w:p w14:paraId="30FC2F21" w14:textId="61DA9D33" w:rsidR="00CE1364" w:rsidRDefault="005430FB">
      <w:pPr>
        <w:pStyle w:val="P68B1DB1-ListParagraph11"/>
        <w:numPr>
          <w:ilvl w:val="0"/>
          <w:numId w:val="29"/>
        </w:numPr>
        <w:ind w:left="1296" w:hanging="576"/>
      </w:pPr>
      <w:r>
        <w:t>La confidentialité des données personnelles</w:t>
      </w:r>
      <w:r w:rsidR="00E10875">
        <w:t xml:space="preserve">, les </w:t>
      </w:r>
      <w:r>
        <w:t xml:space="preserve">informations commerciales </w:t>
      </w:r>
      <w:r w:rsidR="00E10875">
        <w:t>et</w:t>
      </w:r>
      <w:r w:rsidR="00DE5085">
        <w:t xml:space="preserve"> </w:t>
      </w:r>
      <w:r>
        <w:t xml:space="preserve">la sécurité des données sont assurées. </w:t>
      </w:r>
    </w:p>
    <w:p w14:paraId="55A8E2F3" w14:textId="77777777" w:rsidR="00CE1364" w:rsidRDefault="005430FB">
      <w:pPr>
        <w:pStyle w:val="P68B1DB1-ListParagraph11"/>
        <w:numPr>
          <w:ilvl w:val="0"/>
          <w:numId w:val="29"/>
        </w:numPr>
        <w:ind w:left="1296" w:hanging="576"/>
      </w:pPr>
      <w:r>
        <w:t xml:space="preserve">Les besoins des utilisateurs sont pris en compte. </w:t>
      </w:r>
    </w:p>
    <w:p w14:paraId="0C7C9603" w14:textId="77777777" w:rsidR="00CE1364" w:rsidRDefault="00CE1364">
      <w:pPr>
        <w:pStyle w:val="ListParagraph"/>
        <w:rPr>
          <w:rFonts w:asciiTheme="majorBidi" w:eastAsiaTheme="minorEastAsia" w:hAnsiTheme="majorBidi" w:cstheme="majorBidi"/>
          <w:i/>
          <w:kern w:val="24"/>
        </w:rPr>
      </w:pPr>
    </w:p>
    <w:p w14:paraId="6D012417" w14:textId="57F99FF1" w:rsidR="00CE1364" w:rsidRDefault="00E10875">
      <w:pPr>
        <w:pStyle w:val="P68B1DB1-ListParagraph11"/>
        <w:numPr>
          <w:ilvl w:val="0"/>
          <w:numId w:val="1"/>
        </w:numPr>
      </w:pPr>
      <w:r>
        <w:rPr>
          <w:b/>
        </w:rPr>
        <w:t>Les</w:t>
      </w:r>
      <w:r w:rsidR="00A92689">
        <w:rPr>
          <w:b/>
        </w:rPr>
        <w:t xml:space="preserve"> </w:t>
      </w:r>
      <w:r w:rsidR="005430FB">
        <w:rPr>
          <w:b/>
        </w:rPr>
        <w:t xml:space="preserve">nouvelles sources de données, </w:t>
      </w:r>
      <w:r>
        <w:rPr>
          <w:b/>
        </w:rPr>
        <w:t>les</w:t>
      </w:r>
      <w:r w:rsidR="00A92689">
        <w:rPr>
          <w:b/>
        </w:rPr>
        <w:t xml:space="preserve"> nouveaux </w:t>
      </w:r>
      <w:r w:rsidR="005430FB">
        <w:rPr>
          <w:b/>
        </w:rPr>
        <w:t>fournisseurs de données ainsi que l’utilisation de sources de données multiples sont explorés de manière proactive</w:t>
      </w:r>
      <w:r w:rsidR="005430FB">
        <w:t>: Les organismes statistique</w:t>
      </w:r>
      <w:r w:rsidR="00A92689">
        <w:t>s</w:t>
      </w:r>
      <w:r w:rsidR="005430FB">
        <w:t xml:space="preserve"> </w:t>
      </w:r>
      <w:r w:rsidR="00A92689">
        <w:t xml:space="preserve">explorent </w:t>
      </w:r>
      <w:r w:rsidR="005430FB">
        <w:t xml:space="preserve">constamment l’utilisation de nouvelles sources de données ou l’utilisation simultanée de sources de données multiples pour produire </w:t>
      </w:r>
      <w:r>
        <w:t xml:space="preserve">les </w:t>
      </w:r>
      <w:r w:rsidR="005430FB">
        <w:t xml:space="preserve">statistiques officielles. Cette exigence </w:t>
      </w:r>
      <w:r w:rsidR="00A92689">
        <w:t xml:space="preserve">essentielle </w:t>
      </w:r>
      <w:r w:rsidR="005430FB">
        <w:t>est prise en compte avant et lors de la sélection d’une source de données (</w:t>
      </w:r>
      <w:r w:rsidR="00B40F79">
        <w:t>A</w:t>
      </w:r>
      <w:r w:rsidR="005430FB">
        <w:t>ction 1 de l’approche conceptuelle).</w:t>
      </w:r>
    </w:p>
    <w:p w14:paraId="5FD27E2A" w14:textId="77777777" w:rsidR="00CE1364" w:rsidRDefault="00CE1364">
      <w:pPr>
        <w:pStyle w:val="ListParagraph"/>
        <w:rPr>
          <w:rFonts w:asciiTheme="majorBidi" w:eastAsiaTheme="minorEastAsia" w:hAnsiTheme="majorBidi" w:cstheme="majorBidi"/>
          <w:i/>
          <w:kern w:val="24"/>
        </w:rPr>
      </w:pPr>
    </w:p>
    <w:p w14:paraId="449EB531" w14:textId="77777777" w:rsidR="00CE1364" w:rsidRDefault="005430FB">
      <w:pPr>
        <w:pStyle w:val="P68B1DB1-ListParagraph10"/>
      </w:pPr>
      <w:r>
        <w:t>Pratiques suggérées</w:t>
      </w:r>
    </w:p>
    <w:p w14:paraId="5D669CEA" w14:textId="77777777" w:rsidR="00CE1364" w:rsidRDefault="00CE1364">
      <w:pPr>
        <w:pStyle w:val="ListParagraph"/>
        <w:rPr>
          <w:rFonts w:asciiTheme="majorBidi" w:eastAsiaTheme="minorEastAsia" w:hAnsiTheme="majorBidi" w:cstheme="majorBidi"/>
          <w:i/>
          <w:kern w:val="24"/>
        </w:rPr>
      </w:pPr>
    </w:p>
    <w:p w14:paraId="293EFC2F" w14:textId="1795A30D" w:rsidR="00CE1364" w:rsidRDefault="00B40F79">
      <w:pPr>
        <w:pStyle w:val="ListParagraph"/>
        <w:numPr>
          <w:ilvl w:val="0"/>
          <w:numId w:val="30"/>
        </w:numPr>
        <w:ind w:left="1296" w:hanging="576"/>
        <w:rPr>
          <w:rFonts w:asciiTheme="majorBidi" w:eastAsiaTheme="minorEastAsia" w:hAnsiTheme="majorBidi" w:cstheme="majorBidi"/>
          <w:kern w:val="24"/>
        </w:rPr>
      </w:pPr>
      <w:r>
        <w:rPr>
          <w:rFonts w:asciiTheme="majorBidi" w:eastAsiaTheme="minorEastAsia" w:hAnsiTheme="majorBidi" w:cstheme="majorBidi"/>
          <w:kern w:val="24"/>
        </w:rPr>
        <w:t>Les</w:t>
      </w:r>
      <w:r w:rsidR="005430FB">
        <w:rPr>
          <w:rFonts w:asciiTheme="majorBidi" w:eastAsiaTheme="minorEastAsia" w:hAnsiTheme="majorBidi" w:cstheme="majorBidi"/>
          <w:kern w:val="24"/>
        </w:rPr>
        <w:t xml:space="preserve"> politiques, lignes directrices et procédures pratiques pour étudier et tester le potentiel des nouvelles sources de données pour la production de</w:t>
      </w:r>
      <w:r w:rsidR="00AB10E9">
        <w:rPr>
          <w:rFonts w:asciiTheme="majorBidi" w:eastAsiaTheme="minorEastAsia" w:hAnsiTheme="majorBidi" w:cstheme="majorBidi"/>
          <w:kern w:val="24"/>
        </w:rPr>
        <w:t>s</w:t>
      </w:r>
      <w:r w:rsidR="005430FB">
        <w:rPr>
          <w:rFonts w:asciiTheme="majorBidi" w:eastAsiaTheme="minorEastAsia" w:hAnsiTheme="majorBidi" w:cstheme="majorBidi"/>
          <w:kern w:val="24"/>
        </w:rPr>
        <w:t xml:space="preserve"> statistiques exist</w:t>
      </w:r>
      <w:r w:rsidR="00A92689">
        <w:rPr>
          <w:rFonts w:asciiTheme="majorBidi" w:eastAsiaTheme="minorEastAsia" w:hAnsiTheme="majorBidi" w:cstheme="majorBidi"/>
          <w:kern w:val="24"/>
        </w:rPr>
        <w:t>en</w:t>
      </w:r>
      <w:r w:rsidR="005430FB">
        <w:rPr>
          <w:rFonts w:asciiTheme="majorBidi" w:eastAsiaTheme="minorEastAsia" w:hAnsiTheme="majorBidi" w:cstheme="majorBidi"/>
          <w:kern w:val="24"/>
        </w:rPr>
        <w:t xml:space="preserve">t et cela s’étend à l’utilisation possible de </w:t>
      </w:r>
      <w:r w:rsidR="00AB10E9">
        <w:rPr>
          <w:rFonts w:asciiTheme="majorBidi" w:eastAsiaTheme="minorEastAsia" w:hAnsiTheme="majorBidi" w:cstheme="majorBidi"/>
          <w:kern w:val="24"/>
        </w:rPr>
        <w:t xml:space="preserve">multiples </w:t>
      </w:r>
      <w:r w:rsidR="005430FB">
        <w:rPr>
          <w:rFonts w:asciiTheme="majorBidi" w:eastAsiaTheme="minorEastAsia" w:hAnsiTheme="majorBidi" w:cstheme="majorBidi"/>
          <w:kern w:val="24"/>
        </w:rPr>
        <w:t xml:space="preserve">sources de données </w:t>
      </w:r>
      <w:r w:rsidR="00A92689">
        <w:rPr>
          <w:rFonts w:asciiTheme="majorBidi" w:eastAsiaTheme="minorEastAsia" w:hAnsiTheme="majorBidi" w:cstheme="majorBidi"/>
          <w:kern w:val="24"/>
        </w:rPr>
        <w:t xml:space="preserve">par </w:t>
      </w:r>
      <w:r w:rsidR="005430FB">
        <w:rPr>
          <w:rFonts w:asciiTheme="majorBidi" w:eastAsiaTheme="minorEastAsia" w:hAnsiTheme="majorBidi" w:cstheme="majorBidi"/>
          <w:kern w:val="24"/>
        </w:rPr>
        <w:t>l’intégration des données.</w:t>
      </w:r>
      <w:r w:rsidR="005430FB">
        <w:rPr>
          <w:rStyle w:val="FootnoteReference"/>
          <w:rFonts w:asciiTheme="majorBidi" w:eastAsiaTheme="minorEastAsia" w:hAnsiTheme="majorBidi" w:cstheme="majorBidi"/>
          <w:kern w:val="24"/>
        </w:rPr>
        <w:footnoteReference w:id="15"/>
      </w:r>
    </w:p>
    <w:p w14:paraId="4729E793" w14:textId="7EBBF4A6" w:rsidR="00CE1364" w:rsidRDefault="005430FB">
      <w:pPr>
        <w:pStyle w:val="P68B1DB1-ListParagraph11"/>
        <w:numPr>
          <w:ilvl w:val="0"/>
          <w:numId w:val="30"/>
        </w:numPr>
        <w:ind w:left="1296" w:hanging="576"/>
      </w:pPr>
      <w:r>
        <w:t xml:space="preserve">Les organismes statistiques collaborent avec </w:t>
      </w:r>
      <w:r w:rsidR="00AB10E9">
        <w:t xml:space="preserve">les </w:t>
      </w:r>
      <w:r>
        <w:t xml:space="preserve">organismes gouvernementaux, </w:t>
      </w:r>
      <w:r w:rsidR="00AB10E9">
        <w:t xml:space="preserve">les </w:t>
      </w:r>
      <w:r>
        <w:t xml:space="preserve">institutions publiques, </w:t>
      </w:r>
      <w:r w:rsidR="00AB10E9">
        <w:t xml:space="preserve">les </w:t>
      </w:r>
      <w:r>
        <w:t xml:space="preserve">entreprises privées, </w:t>
      </w:r>
      <w:r w:rsidR="00AB10E9">
        <w:t xml:space="preserve">les </w:t>
      </w:r>
      <w:r>
        <w:t xml:space="preserve">entités non gouvernementales et </w:t>
      </w:r>
      <w:r w:rsidR="00AB10E9">
        <w:t xml:space="preserve">les </w:t>
      </w:r>
      <w:r>
        <w:t xml:space="preserve">organisations de la société civile, </w:t>
      </w:r>
      <w:r w:rsidR="00AB10E9">
        <w:t xml:space="preserve">les institutions </w:t>
      </w:r>
      <w:r>
        <w:t xml:space="preserve">universitaires et de recherche et autres innovateurs technologiques pour identifier et explorer l’utilisation de nouvelles sources de données et l’intégration de sources de </w:t>
      </w:r>
      <w:r w:rsidR="00AB10E9">
        <w:t xml:space="preserve">multiples </w:t>
      </w:r>
      <w:r>
        <w:t>données.</w:t>
      </w:r>
    </w:p>
    <w:p w14:paraId="2DA5C965" w14:textId="5755638D" w:rsidR="00CE1364" w:rsidRDefault="000064FB">
      <w:pPr>
        <w:pStyle w:val="P68B1DB1-ListParagraph11"/>
        <w:numPr>
          <w:ilvl w:val="0"/>
          <w:numId w:val="30"/>
        </w:numPr>
        <w:ind w:left="1296" w:hanging="576"/>
      </w:pPr>
      <w:r>
        <w:lastRenderedPageBreak/>
        <w:t>U</w:t>
      </w:r>
      <w:r w:rsidR="005430FB">
        <w:t xml:space="preserve">n </w:t>
      </w:r>
      <w:r w:rsidR="00AB10E9">
        <w:t>centre</w:t>
      </w:r>
      <w:r w:rsidR="005430FB">
        <w:t xml:space="preserve"> </w:t>
      </w:r>
      <w:r w:rsidR="00AB10E9">
        <w:t>d</w:t>
      </w:r>
      <w:r w:rsidR="005430FB">
        <w:t>’innovation ou une unité institutionnelle similaire</w:t>
      </w:r>
      <w:r>
        <w:t xml:space="preserve"> existe </w:t>
      </w:r>
      <w:r w:rsidR="005430FB">
        <w:t>de préférence à l’</w:t>
      </w:r>
      <w:r>
        <w:t>I</w:t>
      </w:r>
      <w:r w:rsidR="005430FB">
        <w:t>NS</w:t>
      </w:r>
      <w:r>
        <w:t xml:space="preserve"> et</w:t>
      </w:r>
      <w:r w:rsidR="005430FB">
        <w:t xml:space="preserve"> appuie systématiquement l’exploration et </w:t>
      </w:r>
      <w:r>
        <w:t xml:space="preserve">le test </w:t>
      </w:r>
      <w:r w:rsidR="005430FB">
        <w:t>de nouvelles sources de données et l’intégration de</w:t>
      </w:r>
      <w:r w:rsidR="00AB10E9">
        <w:t>s</w:t>
      </w:r>
      <w:r w:rsidR="005430FB">
        <w:t xml:space="preserve"> sources de </w:t>
      </w:r>
      <w:r w:rsidR="00AB10E9">
        <w:t xml:space="preserve">multiples </w:t>
      </w:r>
      <w:r w:rsidR="005430FB">
        <w:t>données pour la production de</w:t>
      </w:r>
      <w:r w:rsidR="00AB10E9">
        <w:t>s</w:t>
      </w:r>
      <w:r w:rsidR="005430FB">
        <w:t xml:space="preserve"> statistiques officielles </w:t>
      </w:r>
      <w:r>
        <w:t>au sein</w:t>
      </w:r>
      <w:r w:rsidR="005430FB">
        <w:t xml:space="preserve"> d</w:t>
      </w:r>
      <w:r>
        <w:t xml:space="preserve">e l’institut </w:t>
      </w:r>
      <w:r w:rsidR="005430FB">
        <w:t>national de statistique et du système statistique national.</w:t>
      </w:r>
    </w:p>
    <w:p w14:paraId="71CD0348" w14:textId="77777777" w:rsidR="00CE1364" w:rsidRDefault="00CE1364">
      <w:pPr>
        <w:pStyle w:val="ListParagraph"/>
        <w:rPr>
          <w:rFonts w:asciiTheme="majorBidi" w:hAnsiTheme="majorBidi" w:cstheme="majorBidi"/>
        </w:rPr>
      </w:pPr>
    </w:p>
    <w:p w14:paraId="781F007B" w14:textId="4CEC4698" w:rsidR="00CE1364" w:rsidRDefault="005430FB">
      <w:pPr>
        <w:pStyle w:val="P68B1DB1-ListParagraph12"/>
        <w:numPr>
          <w:ilvl w:val="0"/>
          <w:numId w:val="1"/>
        </w:numPr>
        <w:rPr>
          <w:rFonts w:asciiTheme="majorBidi" w:eastAsiaTheme="minorEastAsia" w:hAnsiTheme="majorBidi" w:cstheme="majorBidi"/>
        </w:rPr>
      </w:pPr>
      <w:r>
        <w:rPr>
          <w:rFonts w:asciiTheme="majorBidi" w:eastAsiaTheme="minorEastAsia" w:hAnsiTheme="majorBidi" w:cstheme="majorBidi"/>
          <w:b/>
          <w:color w:val="000000" w:themeColor="text1"/>
        </w:rPr>
        <w:t>Il existe des informations de base sur le</w:t>
      </w:r>
      <w:r w:rsidR="00AB10E9">
        <w:rPr>
          <w:rFonts w:asciiTheme="majorBidi" w:eastAsiaTheme="minorEastAsia" w:hAnsiTheme="majorBidi" w:cstheme="majorBidi"/>
          <w:b/>
          <w:color w:val="000000" w:themeColor="text1"/>
        </w:rPr>
        <w:t>s</w:t>
      </w:r>
      <w:r>
        <w:rPr>
          <w:rFonts w:asciiTheme="majorBidi" w:eastAsiaTheme="minorEastAsia" w:hAnsiTheme="majorBidi" w:cstheme="majorBidi"/>
          <w:b/>
          <w:color w:val="000000" w:themeColor="text1"/>
        </w:rPr>
        <w:t xml:space="preserve"> fournisseur</w:t>
      </w:r>
      <w:r w:rsidR="00AB10E9">
        <w:rPr>
          <w:rFonts w:asciiTheme="majorBidi" w:eastAsiaTheme="minorEastAsia" w:hAnsiTheme="majorBidi" w:cstheme="majorBidi"/>
          <w:b/>
          <w:color w:val="000000" w:themeColor="text1"/>
        </w:rPr>
        <w:t>s</w:t>
      </w:r>
      <w:r>
        <w:rPr>
          <w:rFonts w:asciiTheme="majorBidi" w:eastAsiaTheme="minorEastAsia" w:hAnsiTheme="majorBidi" w:cstheme="majorBidi"/>
          <w:b/>
          <w:color w:val="000000" w:themeColor="text1"/>
        </w:rPr>
        <w:t xml:space="preserve"> de données et des informations générales sur la source de données</w:t>
      </w:r>
      <w:r>
        <w:rPr>
          <w:rFonts w:asciiTheme="majorBidi" w:hAnsiTheme="majorBidi" w:cstheme="majorBidi"/>
          <w:color w:val="000000" w:themeColor="text1"/>
        </w:rPr>
        <w:t>: Il existe des informations de base sur le fournisseur de</w:t>
      </w:r>
      <w:r w:rsidR="00AB10E9">
        <w:rPr>
          <w:rFonts w:asciiTheme="majorBidi" w:hAnsiTheme="majorBidi" w:cstheme="majorBidi"/>
          <w:color w:val="000000" w:themeColor="text1"/>
        </w:rPr>
        <w:t>s</w:t>
      </w:r>
      <w:r>
        <w:rPr>
          <w:rFonts w:asciiTheme="majorBidi" w:hAnsiTheme="majorBidi" w:cstheme="majorBidi"/>
          <w:color w:val="000000" w:themeColor="text1"/>
        </w:rPr>
        <w:t xml:space="preserve"> données administratives et autres</w:t>
      </w:r>
      <w:r w:rsidR="000064FB">
        <w:rPr>
          <w:rFonts w:asciiTheme="majorBidi" w:hAnsiTheme="majorBidi" w:cstheme="majorBidi"/>
          <w:color w:val="000000" w:themeColor="text1"/>
        </w:rPr>
        <w:t xml:space="preserve"> sources de données</w:t>
      </w:r>
      <w:r>
        <w:rPr>
          <w:rFonts w:asciiTheme="majorBidi" w:hAnsiTheme="majorBidi" w:cstheme="majorBidi"/>
          <w:color w:val="000000" w:themeColor="text1"/>
        </w:rPr>
        <w:t>. Les organismes statistiques disposent d’informations générales sur la source des données</w:t>
      </w:r>
      <w:r w:rsidR="000064FB">
        <w:rPr>
          <w:rFonts w:asciiTheme="majorBidi" w:hAnsiTheme="majorBidi" w:cstheme="majorBidi"/>
          <w:color w:val="000000" w:themeColor="text1"/>
        </w:rPr>
        <w:t>, notamment</w:t>
      </w:r>
      <w:r>
        <w:rPr>
          <w:rFonts w:asciiTheme="majorBidi" w:hAnsiTheme="majorBidi" w:cstheme="majorBidi"/>
          <w:color w:val="000000" w:themeColor="text1"/>
        </w:rPr>
        <w:t xml:space="preserve"> la façon dont elles sont générées. Cette exigence </w:t>
      </w:r>
      <w:r w:rsidR="000064FB">
        <w:rPr>
          <w:rFonts w:asciiTheme="majorBidi" w:hAnsiTheme="majorBidi" w:cstheme="majorBidi"/>
          <w:color w:val="000000" w:themeColor="text1"/>
        </w:rPr>
        <w:t xml:space="preserve">essentielle </w:t>
      </w:r>
      <w:r>
        <w:rPr>
          <w:rFonts w:asciiTheme="majorBidi" w:hAnsiTheme="majorBidi" w:cstheme="majorBidi"/>
          <w:color w:val="000000" w:themeColor="text1"/>
        </w:rPr>
        <w:t xml:space="preserve">est généralement prise en compte </w:t>
      </w:r>
      <w:r>
        <w:rPr>
          <w:rFonts w:asciiTheme="majorBidi" w:eastAsiaTheme="minorEastAsia" w:hAnsiTheme="majorBidi" w:cstheme="majorBidi"/>
        </w:rPr>
        <w:t>lors de la sélection d’une source de données (</w:t>
      </w:r>
      <w:r w:rsidR="00AB10E9">
        <w:rPr>
          <w:rFonts w:asciiTheme="majorBidi" w:eastAsiaTheme="minorEastAsia" w:hAnsiTheme="majorBidi" w:cstheme="majorBidi"/>
        </w:rPr>
        <w:t>A</w:t>
      </w:r>
      <w:r>
        <w:rPr>
          <w:rFonts w:asciiTheme="majorBidi" w:eastAsiaTheme="minorEastAsia" w:hAnsiTheme="majorBidi" w:cstheme="majorBidi"/>
        </w:rPr>
        <w:t xml:space="preserve">ction 1 de l’approche conceptuelle). </w:t>
      </w:r>
    </w:p>
    <w:p w14:paraId="41D520ED" w14:textId="77777777" w:rsidR="00CE1364" w:rsidRDefault="00CE1364">
      <w:pPr>
        <w:pStyle w:val="ListParagraph"/>
        <w:rPr>
          <w:rFonts w:asciiTheme="majorBidi" w:eastAsiaTheme="minorEastAsia" w:hAnsiTheme="majorBidi" w:cstheme="majorBidi"/>
          <w:i/>
          <w:kern w:val="24"/>
        </w:rPr>
      </w:pPr>
    </w:p>
    <w:p w14:paraId="10937D4E" w14:textId="77777777" w:rsidR="00CE1364" w:rsidRDefault="005430FB">
      <w:pPr>
        <w:pStyle w:val="P68B1DB1-ListParagraph10"/>
      </w:pPr>
      <w:r>
        <w:t>Pratiques suggérées</w:t>
      </w:r>
    </w:p>
    <w:p w14:paraId="4BB597F5" w14:textId="77777777" w:rsidR="00CE1364" w:rsidRDefault="00CE1364">
      <w:pPr>
        <w:pStyle w:val="ListParagraph"/>
        <w:rPr>
          <w:rFonts w:asciiTheme="majorBidi" w:eastAsiaTheme="minorEastAsia" w:hAnsiTheme="majorBidi" w:cstheme="majorBidi"/>
          <w:i/>
          <w:kern w:val="24"/>
        </w:rPr>
      </w:pPr>
    </w:p>
    <w:p w14:paraId="285CE92F" w14:textId="742C4974" w:rsidR="00CE1364" w:rsidRDefault="00AB10E9">
      <w:pPr>
        <w:pStyle w:val="P68B1DB1-ListParagraph11"/>
        <w:numPr>
          <w:ilvl w:val="0"/>
          <w:numId w:val="31"/>
        </w:numPr>
        <w:ind w:left="1296" w:hanging="576"/>
      </w:pPr>
      <w:r>
        <w:t>Les</w:t>
      </w:r>
      <w:r w:rsidR="005430FB">
        <w:t xml:space="preserve"> informations sur le nom et l’adresse du fournisseur de</w:t>
      </w:r>
      <w:r>
        <w:t>s</w:t>
      </w:r>
      <w:r w:rsidR="005430FB">
        <w:t xml:space="preserve"> données et sur la manière de </w:t>
      </w:r>
      <w:r>
        <w:t xml:space="preserve">le </w:t>
      </w:r>
      <w:r w:rsidR="005430FB">
        <w:t xml:space="preserve">contacter </w:t>
      </w:r>
      <w:r w:rsidR="000064FB">
        <w:t xml:space="preserve">existent </w:t>
      </w:r>
      <w:r w:rsidR="005430FB">
        <w:t>(personne de contact, unité organisationnelle au sein du fournisseur de données).</w:t>
      </w:r>
    </w:p>
    <w:p w14:paraId="02318A9A" w14:textId="1A94C4B0" w:rsidR="00CE1364" w:rsidRDefault="00AB10E9">
      <w:pPr>
        <w:pStyle w:val="P68B1DB1-ListParagraph11"/>
        <w:numPr>
          <w:ilvl w:val="0"/>
          <w:numId w:val="31"/>
        </w:numPr>
        <w:ind w:left="1296" w:hanging="576"/>
      </w:pPr>
      <w:r>
        <w:t>Les</w:t>
      </w:r>
      <w:r w:rsidR="005430FB">
        <w:t xml:space="preserve"> informations sur le statut juridique, le type d’organisation, la résidence, l’objet ou le mandat et la gestion ou la direction du fournisseur de données</w:t>
      </w:r>
      <w:r w:rsidR="000064FB">
        <w:t xml:space="preserve"> existent</w:t>
      </w:r>
      <w:r w:rsidR="005430FB">
        <w:t xml:space="preserve">. </w:t>
      </w:r>
    </w:p>
    <w:p w14:paraId="3738809D" w14:textId="6E1FE804" w:rsidR="00CE1364" w:rsidRDefault="00AB10E9">
      <w:pPr>
        <w:pStyle w:val="P68B1DB1-ListParagraph11"/>
        <w:numPr>
          <w:ilvl w:val="0"/>
          <w:numId w:val="31"/>
        </w:numPr>
        <w:ind w:left="1296" w:hanging="576"/>
      </w:pPr>
      <w:r>
        <w:t>Les</w:t>
      </w:r>
      <w:r w:rsidR="005430FB">
        <w:t xml:space="preserve"> informations générales sur la source des données, telles que l’objectif, la méthode et la fréquence de la collecte des données, la gestion/le stockage des données ainsi que la population qu’elle vise à couvrir (population cible)</w:t>
      </w:r>
      <w:r w:rsidR="000064FB">
        <w:t xml:space="preserve"> sont disponibles</w:t>
      </w:r>
      <w:r w:rsidR="005430FB">
        <w:t xml:space="preserve">. </w:t>
      </w:r>
    </w:p>
    <w:p w14:paraId="6D77E960" w14:textId="0D140A8B" w:rsidR="00CE1364" w:rsidRDefault="000064FB">
      <w:pPr>
        <w:pStyle w:val="P68B1DB1-ListParagraph11"/>
        <w:numPr>
          <w:ilvl w:val="0"/>
          <w:numId w:val="31"/>
        </w:numPr>
        <w:ind w:left="1296" w:hanging="576"/>
      </w:pPr>
      <w:r>
        <w:t>U</w:t>
      </w:r>
      <w:r w:rsidR="005430FB">
        <w:t>ne évaluation préliminaire de l’utilité de la source de données pour la production de</w:t>
      </w:r>
      <w:r w:rsidR="00AB10E9">
        <w:t>s</w:t>
      </w:r>
      <w:r w:rsidR="005430FB">
        <w:t xml:space="preserve"> statistiques officielles</w:t>
      </w:r>
      <w:r>
        <w:t xml:space="preserve"> est réalisée</w:t>
      </w:r>
      <w:r w:rsidR="005430FB">
        <w:t>.</w:t>
      </w:r>
    </w:p>
    <w:p w14:paraId="0DAAD976" w14:textId="28A5930D" w:rsidR="00CE1364" w:rsidRDefault="00AB10E9">
      <w:pPr>
        <w:pStyle w:val="P68B1DB1-ListParagraph11"/>
        <w:numPr>
          <w:ilvl w:val="0"/>
          <w:numId w:val="31"/>
        </w:numPr>
        <w:ind w:left="1296" w:hanging="576"/>
      </w:pPr>
      <w:r>
        <w:t>Les</w:t>
      </w:r>
      <w:r w:rsidR="005430FB">
        <w:t xml:space="preserve"> informations générales sur les limites de la source de données lorsqu’elles sont utilisées pour produire </w:t>
      </w:r>
      <w:r>
        <w:t xml:space="preserve">les </w:t>
      </w:r>
      <w:r w:rsidR="005430FB">
        <w:t>statistiques officielles</w:t>
      </w:r>
      <w:r w:rsidR="00B42FC2">
        <w:t xml:space="preserve"> sont fournies</w:t>
      </w:r>
      <w:r w:rsidR="005430FB">
        <w:t>.</w:t>
      </w:r>
    </w:p>
    <w:p w14:paraId="640C4A93" w14:textId="1919BBFD" w:rsidR="00CE1364" w:rsidRDefault="00B42FC2">
      <w:pPr>
        <w:pStyle w:val="P68B1DB1-ListParagraph11"/>
        <w:numPr>
          <w:ilvl w:val="0"/>
          <w:numId w:val="31"/>
        </w:numPr>
        <w:ind w:left="1296" w:hanging="576"/>
      </w:pPr>
      <w:r>
        <w:t>U</w:t>
      </w:r>
      <w:r w:rsidR="005430FB">
        <w:t>ne première évaluation coûts-avantages</w:t>
      </w:r>
      <w:r>
        <w:t xml:space="preserve"> est réalisée</w:t>
      </w:r>
      <w:r w:rsidR="005430FB">
        <w:t>, car l’utilisation de</w:t>
      </w:r>
      <w:r w:rsidR="00AB10E9">
        <w:t>s</w:t>
      </w:r>
      <w:r w:rsidR="005430FB">
        <w:t xml:space="preserve"> données administratives et autres sources de données peut entraîner des coûts importants (voir également 7.b).</w:t>
      </w:r>
    </w:p>
    <w:p w14:paraId="6E652FD9" w14:textId="77777777" w:rsidR="00CE1364" w:rsidRDefault="00CE1364">
      <w:pPr>
        <w:pStyle w:val="ListParagraph"/>
        <w:rPr>
          <w:rFonts w:asciiTheme="majorBidi" w:hAnsiTheme="majorBidi" w:cstheme="majorBidi"/>
        </w:rPr>
      </w:pPr>
    </w:p>
    <w:p w14:paraId="528E53E1" w14:textId="029919CB" w:rsidR="00CE1364" w:rsidRDefault="005430FB">
      <w:pPr>
        <w:pStyle w:val="P68B1DB1-ListParagraph12"/>
        <w:keepNext/>
        <w:keepLines/>
        <w:numPr>
          <w:ilvl w:val="0"/>
          <w:numId w:val="1"/>
        </w:numPr>
        <w:rPr>
          <w:rFonts w:asciiTheme="majorBidi" w:eastAsiaTheme="minorEastAsia" w:hAnsiTheme="majorBidi" w:cstheme="majorBidi"/>
          <w:i/>
        </w:rPr>
      </w:pPr>
      <w:r>
        <w:rPr>
          <w:rFonts w:asciiTheme="majorBidi" w:eastAsia="+mn-ea" w:hAnsiTheme="majorBidi" w:cstheme="majorBidi"/>
          <w:b/>
        </w:rPr>
        <w:t xml:space="preserve">Le fournisseur et la source de données sont évalués </w:t>
      </w:r>
      <w:r w:rsidR="00B42FC2">
        <w:rPr>
          <w:rFonts w:asciiTheme="majorBidi" w:eastAsia="+mn-ea" w:hAnsiTheme="majorBidi" w:cstheme="majorBidi"/>
          <w:b/>
        </w:rPr>
        <w:t xml:space="preserve">en fonction des </w:t>
      </w:r>
      <w:r>
        <w:rPr>
          <w:rFonts w:asciiTheme="majorBidi" w:eastAsia="+mn-ea" w:hAnsiTheme="majorBidi" w:cstheme="majorBidi"/>
          <w:b/>
        </w:rPr>
        <w:t>risques</w:t>
      </w:r>
      <w:r w:rsidR="00B42FC2">
        <w:rPr>
          <w:rFonts w:asciiTheme="majorBidi" w:eastAsia="+mn-ea" w:hAnsiTheme="majorBidi" w:cstheme="majorBidi"/>
          <w:b/>
        </w:rPr>
        <w:t xml:space="preserve"> qu’ils présentent</w:t>
      </w:r>
      <w:r>
        <w:rPr>
          <w:rFonts w:asciiTheme="majorBidi" w:eastAsiaTheme="minorEastAsia" w:hAnsiTheme="majorBidi" w:cstheme="majorBidi"/>
        </w:rPr>
        <w:t>: Les fournisseurs de données administratives et autres</w:t>
      </w:r>
      <w:r w:rsidR="00B42FC2">
        <w:rPr>
          <w:rFonts w:asciiTheme="majorBidi" w:eastAsiaTheme="minorEastAsia" w:hAnsiTheme="majorBidi" w:cstheme="majorBidi"/>
        </w:rPr>
        <w:t xml:space="preserve"> sources de données</w:t>
      </w:r>
      <w:r>
        <w:rPr>
          <w:rFonts w:asciiTheme="majorBidi" w:eastAsiaTheme="minorEastAsia" w:hAnsiTheme="majorBidi" w:cstheme="majorBidi"/>
        </w:rPr>
        <w:t xml:space="preserve">, ainsi que la source de données elle-même, sont évalués </w:t>
      </w:r>
      <w:r w:rsidR="00AB10E9">
        <w:rPr>
          <w:rFonts w:asciiTheme="majorBidi" w:eastAsiaTheme="minorEastAsia" w:hAnsiTheme="majorBidi" w:cstheme="majorBidi"/>
        </w:rPr>
        <w:t>par rapport</w:t>
      </w:r>
      <w:r w:rsidR="00B42FC2">
        <w:rPr>
          <w:rFonts w:asciiTheme="majorBidi" w:eastAsiaTheme="minorEastAsia" w:hAnsiTheme="majorBidi" w:cstheme="majorBidi"/>
        </w:rPr>
        <w:t xml:space="preserve"> aux</w:t>
      </w:r>
      <w:r>
        <w:rPr>
          <w:rFonts w:asciiTheme="majorBidi" w:eastAsiaTheme="minorEastAsia" w:hAnsiTheme="majorBidi" w:cstheme="majorBidi"/>
        </w:rPr>
        <w:t xml:space="preserve"> risque</w:t>
      </w:r>
      <w:r w:rsidR="00AB10E9">
        <w:rPr>
          <w:rFonts w:asciiTheme="majorBidi" w:eastAsiaTheme="minorEastAsia" w:hAnsiTheme="majorBidi" w:cstheme="majorBidi"/>
        </w:rPr>
        <w:t>s</w:t>
      </w:r>
      <w:r>
        <w:rPr>
          <w:rFonts w:asciiTheme="majorBidi" w:eastAsiaTheme="minorEastAsia" w:hAnsiTheme="majorBidi" w:cstheme="majorBidi"/>
        </w:rPr>
        <w:t xml:space="preserve"> que l’utilisation de la source de données peut </w:t>
      </w:r>
      <w:r w:rsidR="00B42FC2">
        <w:rPr>
          <w:rFonts w:asciiTheme="majorBidi" w:eastAsiaTheme="minorEastAsia" w:hAnsiTheme="majorBidi" w:cstheme="majorBidi"/>
        </w:rPr>
        <w:t>poser</w:t>
      </w:r>
      <w:r>
        <w:rPr>
          <w:rFonts w:asciiTheme="majorBidi" w:eastAsiaTheme="minorEastAsia" w:hAnsiTheme="majorBidi" w:cstheme="majorBidi"/>
        </w:rPr>
        <w:t xml:space="preserve">, et </w:t>
      </w:r>
      <w:r w:rsidR="00AB10E9">
        <w:rPr>
          <w:rFonts w:asciiTheme="majorBidi" w:eastAsiaTheme="minorEastAsia" w:hAnsiTheme="majorBidi" w:cstheme="majorBidi"/>
        </w:rPr>
        <w:t xml:space="preserve">les </w:t>
      </w:r>
      <w:r>
        <w:rPr>
          <w:rFonts w:asciiTheme="majorBidi" w:eastAsiaTheme="minorEastAsia" w:hAnsiTheme="majorBidi" w:cstheme="majorBidi"/>
        </w:rPr>
        <w:t xml:space="preserve">mesures d’atténuation possibles sont envisagées. Cette exigence </w:t>
      </w:r>
      <w:r w:rsidR="00B42FC2">
        <w:rPr>
          <w:rFonts w:asciiTheme="majorBidi" w:eastAsiaTheme="minorEastAsia" w:hAnsiTheme="majorBidi" w:cstheme="majorBidi"/>
        </w:rPr>
        <w:t xml:space="preserve">essentielle </w:t>
      </w:r>
      <w:r>
        <w:rPr>
          <w:rFonts w:asciiTheme="majorBidi" w:eastAsiaTheme="minorEastAsia" w:hAnsiTheme="majorBidi" w:cstheme="majorBidi"/>
        </w:rPr>
        <w:t xml:space="preserve">est prise en compte lors de la sélection d’une source de données ou lors de </w:t>
      </w:r>
      <w:r w:rsidR="00B42FC2">
        <w:rPr>
          <w:rFonts w:asciiTheme="majorBidi" w:eastAsiaTheme="minorEastAsia" w:hAnsiTheme="majorBidi" w:cstheme="majorBidi"/>
        </w:rPr>
        <w:t xml:space="preserve">l’engagement </w:t>
      </w:r>
      <w:r>
        <w:rPr>
          <w:rFonts w:asciiTheme="majorBidi" w:eastAsiaTheme="minorEastAsia" w:hAnsiTheme="majorBidi" w:cstheme="majorBidi"/>
        </w:rPr>
        <w:t>avec le fournisseur de données (</w:t>
      </w:r>
      <w:r w:rsidR="00AB10E9">
        <w:rPr>
          <w:rFonts w:asciiTheme="majorBidi" w:eastAsiaTheme="minorEastAsia" w:hAnsiTheme="majorBidi" w:cstheme="majorBidi"/>
        </w:rPr>
        <w:t>A</w:t>
      </w:r>
      <w:r>
        <w:rPr>
          <w:rFonts w:asciiTheme="majorBidi" w:eastAsiaTheme="minorEastAsia" w:hAnsiTheme="majorBidi" w:cstheme="majorBidi"/>
        </w:rPr>
        <w:t>ction 1 et action 2 de l’approche conceptuelle).</w:t>
      </w:r>
      <w:r>
        <w:rPr>
          <w:rFonts w:asciiTheme="majorBidi" w:eastAsiaTheme="minorEastAsia" w:hAnsiTheme="majorBidi" w:cstheme="majorBidi"/>
          <w:i/>
        </w:rPr>
        <w:t xml:space="preserve"> </w:t>
      </w:r>
    </w:p>
    <w:p w14:paraId="09941137" w14:textId="77777777" w:rsidR="00CE1364" w:rsidRDefault="00CE1364">
      <w:pPr>
        <w:pStyle w:val="ListParagraph"/>
        <w:keepNext/>
        <w:keepLines/>
        <w:rPr>
          <w:rFonts w:asciiTheme="majorBidi" w:eastAsia="+mn-ea" w:hAnsiTheme="majorBidi" w:cstheme="majorBidi"/>
          <w:b/>
          <w:kern w:val="24"/>
        </w:rPr>
      </w:pPr>
    </w:p>
    <w:p w14:paraId="74E58D4B" w14:textId="77777777" w:rsidR="00CE1364" w:rsidRDefault="005430FB">
      <w:pPr>
        <w:pStyle w:val="P68B1DB1-ListParagraph10"/>
      </w:pPr>
      <w:r>
        <w:t>Pratiques suggérées</w:t>
      </w:r>
    </w:p>
    <w:p w14:paraId="16F3986D" w14:textId="77777777" w:rsidR="00CE1364" w:rsidRDefault="00CE1364">
      <w:pPr>
        <w:pStyle w:val="ListParagraph"/>
        <w:rPr>
          <w:rFonts w:asciiTheme="majorBidi" w:eastAsiaTheme="minorEastAsia" w:hAnsiTheme="majorBidi" w:cstheme="majorBidi"/>
          <w:i/>
          <w:kern w:val="24"/>
        </w:rPr>
      </w:pPr>
    </w:p>
    <w:p w14:paraId="1A2B4F3D" w14:textId="2D44B81D" w:rsidR="00CE1364" w:rsidRDefault="00AB10E9">
      <w:pPr>
        <w:pStyle w:val="P68B1DB1-ListParagraph11"/>
        <w:numPr>
          <w:ilvl w:val="0"/>
          <w:numId w:val="32"/>
        </w:numPr>
        <w:ind w:left="1296" w:hanging="576"/>
      </w:pPr>
      <w:r>
        <w:t>Les</w:t>
      </w:r>
      <w:r w:rsidR="00B42FC2">
        <w:t xml:space="preserve"> </w:t>
      </w:r>
      <w:r w:rsidR="005430FB">
        <w:t xml:space="preserve">informations sur le fournisseur de données, la source de données et les données </w:t>
      </w:r>
      <w:r w:rsidR="00B42FC2">
        <w:t xml:space="preserve">sont suffisantes </w:t>
      </w:r>
      <w:r w:rsidR="005430FB">
        <w:t>pour permettre une évaluation des risques que l</w:t>
      </w:r>
      <w:r>
        <w:t xml:space="preserve">eur </w:t>
      </w:r>
      <w:r w:rsidR="005430FB">
        <w:t>utilisation pour produire des statistiques officielles.</w:t>
      </w:r>
    </w:p>
    <w:p w14:paraId="26FED921" w14:textId="4057F253" w:rsidR="00CE1364" w:rsidRDefault="005430FB">
      <w:pPr>
        <w:pStyle w:val="P68B1DB1-ListParagraph11"/>
        <w:numPr>
          <w:ilvl w:val="0"/>
          <w:numId w:val="32"/>
        </w:numPr>
        <w:ind w:left="1296" w:hanging="576"/>
      </w:pPr>
      <w:r>
        <w:lastRenderedPageBreak/>
        <w:t>Le fournisseur de</w:t>
      </w:r>
      <w:r w:rsidR="00AB10E9">
        <w:t>s</w:t>
      </w:r>
      <w:r>
        <w:t xml:space="preserve"> données est évalué </w:t>
      </w:r>
      <w:r w:rsidR="00B42FC2">
        <w:t>pour</w:t>
      </w:r>
      <w:r>
        <w:t xml:space="preserve"> savoir si l’utilisation de ses sources de données et de ses données pour les statistiques officielles présente des risques tels que le manque de continuité et de reproductibilité de la compilation des données, le manque de fiabilité, les considérations éthiques, les risques liés à la vie privée et à la sécurité des données, les risques liés à la réputation, etc. </w:t>
      </w:r>
    </w:p>
    <w:p w14:paraId="19DC8F4C" w14:textId="31F2CB59" w:rsidR="00CE1364" w:rsidRDefault="00AB10E9">
      <w:pPr>
        <w:pStyle w:val="P68B1DB1-ListParagraph11"/>
        <w:numPr>
          <w:ilvl w:val="0"/>
          <w:numId w:val="32"/>
        </w:numPr>
        <w:ind w:left="1296" w:hanging="576"/>
      </w:pPr>
      <w:r>
        <w:t xml:space="preserve">Les </w:t>
      </w:r>
      <w:r w:rsidR="005430FB">
        <w:t xml:space="preserve">mesures visant à atténuer les risques potentiels sont identifiées, y compris </w:t>
      </w:r>
      <w:r>
        <w:t xml:space="preserve">les </w:t>
      </w:r>
      <w:r w:rsidR="005430FB">
        <w:t>options d’urgence ou de repli lorsque les données ne sont pas fournies comme convenu.</w:t>
      </w:r>
    </w:p>
    <w:p w14:paraId="15616B91" w14:textId="77777777" w:rsidR="00CE1364" w:rsidRDefault="00CE1364">
      <w:pPr>
        <w:pStyle w:val="ListParagraph"/>
        <w:keepNext/>
        <w:keepLines/>
        <w:rPr>
          <w:rFonts w:asciiTheme="majorBidi" w:eastAsiaTheme="minorEastAsia" w:hAnsiTheme="majorBidi" w:cstheme="majorBidi"/>
          <w:i/>
          <w:kern w:val="24"/>
        </w:rPr>
      </w:pPr>
    </w:p>
    <w:p w14:paraId="67E361C7" w14:textId="7436113D" w:rsidR="00CE1364" w:rsidRDefault="008E2601">
      <w:pPr>
        <w:pStyle w:val="P68B1DB1-ListParagraph12"/>
        <w:numPr>
          <w:ilvl w:val="0"/>
          <w:numId w:val="1"/>
        </w:numPr>
        <w:rPr>
          <w:rFonts w:asciiTheme="majorBidi" w:eastAsiaTheme="minorEastAsia" w:hAnsiTheme="majorBidi" w:cstheme="majorBidi"/>
          <w:i/>
        </w:rPr>
      </w:pPr>
      <w:r>
        <w:rPr>
          <w:rFonts w:asciiTheme="majorBidi" w:eastAsia="+mn-ea" w:hAnsiTheme="majorBidi" w:cstheme="majorBidi"/>
          <w:b/>
        </w:rPr>
        <w:t>L</w:t>
      </w:r>
      <w:r w:rsidR="005430FB">
        <w:rPr>
          <w:rFonts w:asciiTheme="majorBidi" w:eastAsia="+mn-ea" w:hAnsiTheme="majorBidi" w:cstheme="majorBidi"/>
          <w:b/>
        </w:rPr>
        <w:t xml:space="preserve">es accords de coopération avec les fournisseurs de données </w:t>
      </w:r>
      <w:r>
        <w:rPr>
          <w:rFonts w:asciiTheme="majorBidi" w:eastAsia="+mn-ea" w:hAnsiTheme="majorBidi" w:cstheme="majorBidi"/>
          <w:b/>
        </w:rPr>
        <w:t>existent et le cas échéant, cette</w:t>
      </w:r>
      <w:r w:rsidR="005430FB">
        <w:rPr>
          <w:rFonts w:asciiTheme="majorBidi" w:eastAsia="+mn-ea" w:hAnsiTheme="majorBidi" w:cstheme="majorBidi"/>
          <w:b/>
        </w:rPr>
        <w:t xml:space="preserve"> coopération </w:t>
      </w:r>
      <w:r w:rsidR="005655B7">
        <w:rPr>
          <w:rFonts w:asciiTheme="majorBidi" w:eastAsia="+mn-ea" w:hAnsiTheme="majorBidi" w:cstheme="majorBidi"/>
          <w:b/>
        </w:rPr>
        <w:t xml:space="preserve">est </w:t>
      </w:r>
      <w:r>
        <w:rPr>
          <w:rFonts w:asciiTheme="majorBidi" w:eastAsia="+mn-ea" w:hAnsiTheme="majorBidi" w:cstheme="majorBidi"/>
          <w:b/>
        </w:rPr>
        <w:t>permanente</w:t>
      </w:r>
      <w:r w:rsidR="005430FB">
        <w:rPr>
          <w:rFonts w:asciiTheme="majorBidi" w:hAnsiTheme="majorBidi" w:cstheme="majorBidi"/>
        </w:rPr>
        <w:t>: Il existe des accords de coopération entre les agences statistiques et les fournisseurs de données administratives et autres</w:t>
      </w:r>
      <w:r w:rsidR="005655B7">
        <w:rPr>
          <w:rFonts w:asciiTheme="majorBidi" w:hAnsiTheme="majorBidi" w:cstheme="majorBidi"/>
        </w:rPr>
        <w:t xml:space="preserve"> sources de données</w:t>
      </w:r>
      <w:r w:rsidR="005430FB">
        <w:rPr>
          <w:rFonts w:asciiTheme="majorBidi" w:hAnsiTheme="majorBidi" w:cstheme="majorBidi"/>
        </w:rPr>
        <w:t xml:space="preserve">, portant sur les conditions d’accès et de livraison, la confidentialité, la sécurité des données et la coopération </w:t>
      </w:r>
      <w:r w:rsidR="005655B7">
        <w:rPr>
          <w:rFonts w:asciiTheme="majorBidi" w:hAnsiTheme="majorBidi" w:cstheme="majorBidi"/>
        </w:rPr>
        <w:t>permanente</w:t>
      </w:r>
      <w:r w:rsidR="005430FB">
        <w:rPr>
          <w:rFonts w:asciiTheme="majorBidi" w:hAnsiTheme="majorBidi" w:cstheme="majorBidi"/>
        </w:rPr>
        <w:t xml:space="preserve">. Cette exigence </w:t>
      </w:r>
      <w:r w:rsidR="005655B7">
        <w:rPr>
          <w:rFonts w:asciiTheme="majorBidi" w:hAnsiTheme="majorBidi" w:cstheme="majorBidi"/>
        </w:rPr>
        <w:t xml:space="preserve">essentielle </w:t>
      </w:r>
      <w:r w:rsidR="005430FB">
        <w:rPr>
          <w:rFonts w:asciiTheme="majorBidi" w:hAnsiTheme="majorBidi" w:cstheme="majorBidi"/>
        </w:rPr>
        <w:t xml:space="preserve">est prise en compte lors du </w:t>
      </w:r>
      <w:r w:rsidR="005655B7">
        <w:rPr>
          <w:rFonts w:asciiTheme="majorBidi" w:hAnsiTheme="majorBidi" w:cstheme="majorBidi"/>
        </w:rPr>
        <w:t xml:space="preserve">l’engagement </w:t>
      </w:r>
      <w:r w:rsidR="005430FB">
        <w:rPr>
          <w:rFonts w:asciiTheme="majorBidi" w:hAnsiTheme="majorBidi" w:cstheme="majorBidi"/>
        </w:rPr>
        <w:t>avec le fournisseur de</w:t>
      </w:r>
      <w:r w:rsidR="00AB10E9">
        <w:rPr>
          <w:rFonts w:asciiTheme="majorBidi" w:hAnsiTheme="majorBidi" w:cstheme="majorBidi"/>
        </w:rPr>
        <w:t>s</w:t>
      </w:r>
      <w:r w:rsidR="005430FB">
        <w:rPr>
          <w:rFonts w:asciiTheme="majorBidi" w:hAnsiTheme="majorBidi" w:cstheme="majorBidi"/>
        </w:rPr>
        <w:t xml:space="preserve"> données (</w:t>
      </w:r>
      <w:r w:rsidR="00AB10E9">
        <w:rPr>
          <w:rFonts w:asciiTheme="majorBidi" w:hAnsiTheme="majorBidi" w:cstheme="majorBidi"/>
        </w:rPr>
        <w:t>A</w:t>
      </w:r>
      <w:r w:rsidR="005430FB">
        <w:rPr>
          <w:rFonts w:asciiTheme="majorBidi" w:hAnsiTheme="majorBidi" w:cstheme="majorBidi"/>
        </w:rPr>
        <w:t>ction 2 de l’approche conceptuelle).</w:t>
      </w:r>
      <w:r w:rsidR="005430FB">
        <w:rPr>
          <w:rFonts w:asciiTheme="majorBidi" w:eastAsiaTheme="minorEastAsia" w:hAnsiTheme="majorBidi" w:cstheme="majorBidi"/>
          <w:i/>
        </w:rPr>
        <w:t xml:space="preserve"> </w:t>
      </w:r>
    </w:p>
    <w:p w14:paraId="192AF0ED" w14:textId="77777777" w:rsidR="00CE1364" w:rsidRDefault="00CE1364">
      <w:pPr>
        <w:pStyle w:val="ListParagraph"/>
        <w:rPr>
          <w:rFonts w:asciiTheme="majorBidi" w:eastAsiaTheme="minorEastAsia" w:hAnsiTheme="majorBidi" w:cstheme="majorBidi"/>
          <w:i/>
          <w:kern w:val="24"/>
        </w:rPr>
      </w:pPr>
    </w:p>
    <w:p w14:paraId="028FC549" w14:textId="0C56B414" w:rsidR="00CE1364" w:rsidRDefault="005430FB">
      <w:pPr>
        <w:pStyle w:val="P68B1DB1-ListParagraph10"/>
        <w:keepNext/>
        <w:keepLines/>
      </w:pPr>
      <w:r>
        <w:t>Pratiques suggérées</w:t>
      </w:r>
    </w:p>
    <w:p w14:paraId="157C4144" w14:textId="77777777" w:rsidR="00CE1364" w:rsidRDefault="00CE1364">
      <w:pPr>
        <w:pStyle w:val="ListParagraph"/>
        <w:keepNext/>
        <w:keepLines/>
        <w:rPr>
          <w:rFonts w:asciiTheme="majorBidi" w:eastAsiaTheme="minorEastAsia" w:hAnsiTheme="majorBidi" w:cstheme="majorBidi"/>
          <w:i/>
          <w:kern w:val="24"/>
        </w:rPr>
      </w:pPr>
    </w:p>
    <w:p w14:paraId="1F698193" w14:textId="254BC58E" w:rsidR="00CE1364" w:rsidRDefault="005430FB">
      <w:pPr>
        <w:pStyle w:val="P68B1DB1-ListParagraph11"/>
        <w:keepNext/>
        <w:keepLines/>
        <w:numPr>
          <w:ilvl w:val="0"/>
          <w:numId w:val="33"/>
        </w:numPr>
        <w:ind w:left="1296" w:hanging="576"/>
      </w:pPr>
      <w:r>
        <w:t>L’</w:t>
      </w:r>
      <w:r w:rsidR="00AB10E9">
        <w:t>I</w:t>
      </w:r>
      <w:r w:rsidR="005655B7">
        <w:t xml:space="preserve">nstitut </w:t>
      </w:r>
      <w:r w:rsidR="00AB10E9">
        <w:t>N</w:t>
      </w:r>
      <w:r w:rsidR="005655B7">
        <w:t>ational de</w:t>
      </w:r>
      <w:r>
        <w:t xml:space="preserve"> </w:t>
      </w:r>
      <w:r w:rsidR="00AB10E9">
        <w:t>S</w:t>
      </w:r>
      <w:r>
        <w:t xml:space="preserve">tatistique a conclu des accords de coopération avec tous ses fournisseurs de données administratives et autres </w:t>
      </w:r>
      <w:r w:rsidR="005655B7">
        <w:t xml:space="preserve">sources de données </w:t>
      </w:r>
      <w:r>
        <w:t>en ce qui concerne l’utilisation d’une source de données particulière couvrant à la fois les données au niveau de l’</w:t>
      </w:r>
      <w:r w:rsidR="00BE2EBE">
        <w:t>unité d’</w:t>
      </w:r>
      <w:r>
        <w:t xml:space="preserve">observation et les </w:t>
      </w:r>
      <w:r w:rsidR="00BE2EBE">
        <w:t>données agrégées</w:t>
      </w:r>
      <w:r>
        <w:t>.</w:t>
      </w:r>
    </w:p>
    <w:p w14:paraId="2D9CB733" w14:textId="2B9435E8" w:rsidR="00CE1364" w:rsidRDefault="005430FB">
      <w:pPr>
        <w:pStyle w:val="ListParagraph"/>
        <w:keepNext/>
        <w:keepLines/>
        <w:numPr>
          <w:ilvl w:val="0"/>
          <w:numId w:val="33"/>
        </w:numPr>
        <w:ind w:left="1296" w:hanging="576"/>
        <w:rPr>
          <w:rFonts w:asciiTheme="majorBidi" w:eastAsiaTheme="minorEastAsia" w:hAnsiTheme="majorBidi" w:cstheme="majorBidi"/>
          <w:kern w:val="24"/>
        </w:rPr>
      </w:pPr>
      <w:r>
        <w:rPr>
          <w:rFonts w:asciiTheme="majorBidi" w:eastAsiaTheme="minorEastAsia" w:hAnsiTheme="majorBidi" w:cstheme="majorBidi"/>
          <w:kern w:val="24"/>
        </w:rPr>
        <w:t xml:space="preserve">Les accords de coopération avec les fournisseurs de données précisent les conditions d’accès aux données, </w:t>
      </w:r>
      <w:r w:rsidR="005655B7">
        <w:rPr>
          <w:rFonts w:asciiTheme="majorBidi" w:eastAsiaTheme="minorEastAsia" w:hAnsiTheme="majorBidi" w:cstheme="majorBidi"/>
          <w:kern w:val="24"/>
        </w:rPr>
        <w:t>notamment</w:t>
      </w:r>
      <w:r>
        <w:rPr>
          <w:rFonts w:asciiTheme="majorBidi" w:eastAsiaTheme="minorEastAsia" w:hAnsiTheme="majorBidi" w:cstheme="majorBidi"/>
          <w:kern w:val="24"/>
        </w:rPr>
        <w:t xml:space="preserve"> le contenu, la couverture, la fréquence, la ponctualité et le format de transmission, la sécurité et la confidentialité.</w:t>
      </w:r>
      <w:r>
        <w:t xml:space="preserve"> </w:t>
      </w:r>
      <w:r>
        <w:rPr>
          <w:rFonts w:asciiTheme="majorBidi" w:eastAsiaTheme="minorEastAsia" w:hAnsiTheme="majorBidi" w:cstheme="majorBidi"/>
          <w:kern w:val="24"/>
        </w:rPr>
        <w:t xml:space="preserve">Ils </w:t>
      </w:r>
      <w:r w:rsidR="005655B7">
        <w:rPr>
          <w:rFonts w:asciiTheme="majorBidi" w:eastAsiaTheme="minorEastAsia" w:hAnsiTheme="majorBidi" w:cstheme="majorBidi"/>
          <w:kern w:val="24"/>
        </w:rPr>
        <w:t xml:space="preserve">prévoient </w:t>
      </w:r>
      <w:r>
        <w:rPr>
          <w:rFonts w:asciiTheme="majorBidi" w:eastAsiaTheme="minorEastAsia" w:hAnsiTheme="majorBidi" w:cstheme="majorBidi"/>
          <w:kern w:val="24"/>
        </w:rPr>
        <w:t xml:space="preserve">des options </w:t>
      </w:r>
      <w:r w:rsidR="00BE2EBE">
        <w:rPr>
          <w:rFonts w:asciiTheme="majorBidi" w:eastAsiaTheme="minorEastAsia" w:hAnsiTheme="majorBidi" w:cstheme="majorBidi"/>
          <w:kern w:val="24"/>
        </w:rPr>
        <w:t>alternatives</w:t>
      </w:r>
      <w:r>
        <w:rPr>
          <w:rFonts w:asciiTheme="majorBidi" w:eastAsiaTheme="minorEastAsia" w:hAnsiTheme="majorBidi" w:cstheme="majorBidi"/>
          <w:kern w:val="24"/>
        </w:rPr>
        <w:t xml:space="preserve"> lorsque les données ne sont pas fournies comme convenu.</w:t>
      </w:r>
    </w:p>
    <w:p w14:paraId="702CEE59" w14:textId="78615543" w:rsidR="00CE1364" w:rsidRDefault="005430FB">
      <w:pPr>
        <w:pStyle w:val="P68B1DB1-ListParagraph11"/>
        <w:numPr>
          <w:ilvl w:val="0"/>
          <w:numId w:val="33"/>
        </w:numPr>
        <w:ind w:left="1296" w:hanging="576"/>
      </w:pPr>
      <w:r>
        <w:t xml:space="preserve">Les accords de coopération précisent les </w:t>
      </w:r>
      <w:r w:rsidR="005655B7">
        <w:t xml:space="preserve">modalités </w:t>
      </w:r>
      <w:r>
        <w:t xml:space="preserve">de coopération et de communication (retour d’information et suivi) avec les fournisseurs de données en ce qui concerne la qualité des données et </w:t>
      </w:r>
      <w:r w:rsidR="00BE2EBE">
        <w:t>d’</w:t>
      </w:r>
      <w:r>
        <w:t xml:space="preserve">autres questions pertinentes telles que l’évolution des données au fil du temps (couverture, concepts et définitions, méthode d’acquisition, etc.). Cette pratique est également liée à l’exigence </w:t>
      </w:r>
      <w:r w:rsidR="005655B7">
        <w:t xml:space="preserve">essentielle </w:t>
      </w:r>
      <w:r>
        <w:t xml:space="preserve">7 qui porte sur la qualité des données </w:t>
      </w:r>
      <w:r w:rsidR="00BE2EBE">
        <w:t>de base</w:t>
      </w:r>
      <w:r>
        <w:t>.</w:t>
      </w:r>
    </w:p>
    <w:p w14:paraId="44CBCAF5" w14:textId="276E5929" w:rsidR="00CE1364" w:rsidRDefault="005430FB">
      <w:pPr>
        <w:pStyle w:val="P68B1DB1-ListParagraph11"/>
        <w:numPr>
          <w:ilvl w:val="0"/>
          <w:numId w:val="33"/>
        </w:numPr>
        <w:ind w:left="1296" w:hanging="576"/>
      </w:pPr>
      <w:r>
        <w:t xml:space="preserve">Les organismes de statistique participent à la conception, à l’élaboration et au traitement des données administratives et des données provenant d’autres sources de données, selon le cas et dans la mesure du possible, afin de les rendre plus </w:t>
      </w:r>
      <w:r w:rsidR="008551B1">
        <w:t xml:space="preserve">adaptées </w:t>
      </w:r>
      <w:r>
        <w:t>à des fins statistiques et autres</w:t>
      </w:r>
      <w:r w:rsidR="008551B1">
        <w:t>, notamment</w:t>
      </w:r>
      <w:r>
        <w:t xml:space="preserve"> aux fins propres du fournisseur de données.</w:t>
      </w:r>
    </w:p>
    <w:p w14:paraId="4FCF0F07" w14:textId="4B96B077" w:rsidR="00CE1364" w:rsidRDefault="005430FB">
      <w:pPr>
        <w:pStyle w:val="P68B1DB1-ListParagraph11"/>
        <w:numPr>
          <w:ilvl w:val="0"/>
          <w:numId w:val="33"/>
        </w:numPr>
        <w:ind w:left="1296" w:hanging="576"/>
      </w:pPr>
      <w:r>
        <w:t xml:space="preserve">Les fournisseurs de données sont tenus de répondre à toute question et </w:t>
      </w:r>
      <w:r w:rsidR="008551B1">
        <w:t xml:space="preserve">à tout </w:t>
      </w:r>
      <w:r>
        <w:t>problème de qualité dans un délai raisonnable</w:t>
      </w:r>
      <w:r w:rsidR="008551B1">
        <w:t>,</w:t>
      </w:r>
      <w:r>
        <w:t xml:space="preserve"> tout en respectant les exigences en matière de protection </w:t>
      </w:r>
      <w:r w:rsidR="008551B1">
        <w:t>de la vie privée</w:t>
      </w:r>
      <w:r>
        <w:t>.</w:t>
      </w:r>
    </w:p>
    <w:p w14:paraId="461E65FC" w14:textId="03EC9EFB" w:rsidR="00CE1364" w:rsidRDefault="005430FB">
      <w:pPr>
        <w:pStyle w:val="P68B1DB1-ListParagraph11"/>
        <w:numPr>
          <w:ilvl w:val="0"/>
          <w:numId w:val="33"/>
        </w:numPr>
        <w:ind w:left="1296" w:hanging="576"/>
      </w:pPr>
      <w:r>
        <w:t xml:space="preserve">Les organismes statistiques fournissent des orientations aux fournisseurs de données, </w:t>
      </w:r>
      <w:r w:rsidR="008551B1">
        <w:t>notamment sur les normes</w:t>
      </w:r>
      <w:r w:rsidR="00BE2EBE">
        <w:t xml:space="preserve"> </w:t>
      </w:r>
      <w:r>
        <w:t xml:space="preserve">et </w:t>
      </w:r>
      <w:r w:rsidR="00BE2EBE">
        <w:t xml:space="preserve">nomenclatures </w:t>
      </w:r>
      <w:r>
        <w:t>statistiques, ainsi que toute modification de celles-ci.</w:t>
      </w:r>
    </w:p>
    <w:p w14:paraId="5A28C12D" w14:textId="0A49229E" w:rsidR="00CE1364" w:rsidRDefault="005430FB">
      <w:pPr>
        <w:pStyle w:val="P68B1DB1-ListParagraph11"/>
        <w:numPr>
          <w:ilvl w:val="0"/>
          <w:numId w:val="33"/>
        </w:numPr>
        <w:ind w:left="1296" w:hanging="576"/>
      </w:pPr>
      <w:r>
        <w:lastRenderedPageBreak/>
        <w:t xml:space="preserve">L’accord de coopération spécifie </w:t>
      </w:r>
      <w:r w:rsidR="008551B1">
        <w:t xml:space="preserve">le </w:t>
      </w:r>
      <w:r>
        <w:t>mécanisme approprié pour fournir un retour d’information sur les questions de qualité, tout partage de données (</w:t>
      </w:r>
      <w:r w:rsidR="008551B1">
        <w:t xml:space="preserve">dans le cadre du respect de </w:t>
      </w:r>
      <w:r>
        <w:t xml:space="preserve">la législation et la réglementation nationales) et d’autres avantages ou services que </w:t>
      </w:r>
      <w:r w:rsidR="008551B1">
        <w:t xml:space="preserve">l’organisme </w:t>
      </w:r>
      <w:r>
        <w:t>statistique peut fournir au fournisseur de données.</w:t>
      </w:r>
    </w:p>
    <w:p w14:paraId="7E42ECB2" w14:textId="6CFD6E17" w:rsidR="00CE1364" w:rsidRDefault="00BE2EBE">
      <w:pPr>
        <w:pStyle w:val="P68B1DB1-ListParagraph11"/>
        <w:numPr>
          <w:ilvl w:val="0"/>
          <w:numId w:val="33"/>
        </w:numPr>
        <w:ind w:left="1296" w:hanging="576"/>
      </w:pPr>
      <w:r>
        <w:t>Il y a un</w:t>
      </w:r>
      <w:r w:rsidR="008551B1">
        <w:t xml:space="preserve">e unité </w:t>
      </w:r>
      <w:r w:rsidR="005430FB">
        <w:t>central à l’</w:t>
      </w:r>
      <w:r w:rsidR="008551B1">
        <w:t>I</w:t>
      </w:r>
      <w:r w:rsidR="005430FB">
        <w:t>NS ou au sein du SS</w:t>
      </w:r>
      <w:r w:rsidR="008551B1">
        <w:t>N</w:t>
      </w:r>
      <w:r w:rsidR="005430FB">
        <w:t xml:space="preserve"> </w:t>
      </w:r>
      <w:r>
        <w:t xml:space="preserve">qui </w:t>
      </w:r>
      <w:r w:rsidR="005430FB">
        <w:t>soutient l’établissement d</w:t>
      </w:r>
      <w:r>
        <w:t xml:space="preserve">es </w:t>
      </w:r>
      <w:r w:rsidR="005430FB">
        <w:t>accords de coopération avec les fournisseurs de données.</w:t>
      </w:r>
    </w:p>
    <w:p w14:paraId="0FCD9BCE" w14:textId="78F630FF" w:rsidR="00CE1364" w:rsidRDefault="005430FB">
      <w:pPr>
        <w:pStyle w:val="P68B1DB1-ListParagraph11"/>
        <w:keepNext/>
        <w:keepLines/>
        <w:ind w:left="1080"/>
      </w:pPr>
      <w:r>
        <w:t xml:space="preserve"> </w:t>
      </w:r>
    </w:p>
    <w:p w14:paraId="180B7517" w14:textId="4AA424C1" w:rsidR="00CE1364" w:rsidRDefault="005430FB">
      <w:pPr>
        <w:pStyle w:val="P68B1DB1-ListParagraph12"/>
        <w:numPr>
          <w:ilvl w:val="0"/>
          <w:numId w:val="1"/>
        </w:numPr>
        <w:rPr>
          <w:rFonts w:asciiTheme="majorBidi" w:eastAsiaTheme="minorEastAsia" w:hAnsiTheme="majorBidi" w:cstheme="majorBidi"/>
          <w:i/>
        </w:rPr>
      </w:pPr>
      <w:r>
        <w:rPr>
          <w:rFonts w:asciiTheme="majorBidi" w:eastAsia="+mn-ea" w:hAnsiTheme="majorBidi" w:cstheme="majorBidi"/>
          <w:b/>
        </w:rPr>
        <w:t xml:space="preserve">Le fournisseur de données assure la qualité de ses données et produit un rapport de qualité (ou une déclaration de qualité) en coopération avec </w:t>
      </w:r>
      <w:r w:rsidR="003A3A53">
        <w:rPr>
          <w:rFonts w:asciiTheme="majorBidi" w:eastAsia="+mn-ea" w:hAnsiTheme="majorBidi" w:cstheme="majorBidi"/>
          <w:b/>
        </w:rPr>
        <w:t xml:space="preserve">l’organisme </w:t>
      </w:r>
      <w:r>
        <w:rPr>
          <w:rFonts w:asciiTheme="majorBidi" w:eastAsia="+mn-ea" w:hAnsiTheme="majorBidi" w:cstheme="majorBidi"/>
          <w:b/>
        </w:rPr>
        <w:t>statistique, le cas échéant</w:t>
      </w:r>
      <w:r>
        <w:rPr>
          <w:rFonts w:asciiTheme="majorBidi" w:hAnsiTheme="majorBidi" w:cstheme="majorBidi"/>
        </w:rPr>
        <w:t xml:space="preserve">: Le fournisseur de données assure la qualité des données </w:t>
      </w:r>
      <w:r w:rsidR="00BE2EBE">
        <w:rPr>
          <w:rFonts w:asciiTheme="majorBidi" w:hAnsiTheme="majorBidi" w:cstheme="majorBidi"/>
        </w:rPr>
        <w:t xml:space="preserve">de base </w:t>
      </w:r>
      <w:r>
        <w:rPr>
          <w:rFonts w:asciiTheme="majorBidi" w:hAnsiTheme="majorBidi" w:cstheme="majorBidi"/>
        </w:rPr>
        <w:t xml:space="preserve">aux fins prévues et fournit un rapport de qualité (ou similaire) à l’organisme statistique. Cette exigence </w:t>
      </w:r>
      <w:r w:rsidR="003A3A53">
        <w:rPr>
          <w:rFonts w:asciiTheme="majorBidi" w:hAnsiTheme="majorBidi" w:cstheme="majorBidi"/>
        </w:rPr>
        <w:t xml:space="preserve">essentielle </w:t>
      </w:r>
      <w:r>
        <w:rPr>
          <w:rFonts w:asciiTheme="majorBidi" w:hAnsiTheme="majorBidi" w:cstheme="majorBidi"/>
        </w:rPr>
        <w:t>est prise en compte lors de l’engagement avec le fournisseur de</w:t>
      </w:r>
      <w:r w:rsidR="00BE2EBE">
        <w:rPr>
          <w:rFonts w:asciiTheme="majorBidi" w:hAnsiTheme="majorBidi" w:cstheme="majorBidi"/>
        </w:rPr>
        <w:t>s</w:t>
      </w:r>
      <w:r>
        <w:rPr>
          <w:rFonts w:asciiTheme="majorBidi" w:hAnsiTheme="majorBidi" w:cstheme="majorBidi"/>
        </w:rPr>
        <w:t xml:space="preserve"> données (</w:t>
      </w:r>
      <w:r w:rsidR="00BE2EBE">
        <w:rPr>
          <w:rFonts w:asciiTheme="majorBidi" w:hAnsiTheme="majorBidi" w:cstheme="majorBidi"/>
        </w:rPr>
        <w:t>A</w:t>
      </w:r>
      <w:r>
        <w:rPr>
          <w:rFonts w:asciiTheme="majorBidi" w:hAnsiTheme="majorBidi" w:cstheme="majorBidi"/>
        </w:rPr>
        <w:t xml:space="preserve">ction 2 de l’approche conceptuelle) et fait partie de </w:t>
      </w:r>
      <w:r w:rsidR="00C21E4B">
        <w:rPr>
          <w:rFonts w:asciiTheme="majorBidi" w:hAnsiTheme="majorBidi" w:cstheme="majorBidi"/>
        </w:rPr>
        <w:t xml:space="preserve">la </w:t>
      </w:r>
      <w:r w:rsidR="00BE2EBE">
        <w:rPr>
          <w:rFonts w:asciiTheme="majorBidi" w:hAnsiTheme="majorBidi" w:cstheme="majorBidi"/>
        </w:rPr>
        <w:t>C</w:t>
      </w:r>
      <w:r w:rsidR="00C21E4B">
        <w:rPr>
          <w:rFonts w:asciiTheme="majorBidi" w:hAnsiTheme="majorBidi" w:cstheme="majorBidi"/>
        </w:rPr>
        <w:t xml:space="preserve">onsidération générale </w:t>
      </w:r>
      <w:r>
        <w:rPr>
          <w:rFonts w:asciiTheme="majorBidi" w:hAnsiTheme="majorBidi" w:cstheme="majorBidi"/>
        </w:rPr>
        <w:t>2 de l’approche conceptuelle.</w:t>
      </w:r>
      <w:r>
        <w:rPr>
          <w:rFonts w:asciiTheme="majorBidi" w:eastAsiaTheme="minorEastAsia" w:hAnsiTheme="majorBidi" w:cstheme="majorBidi"/>
          <w:i/>
        </w:rPr>
        <w:t xml:space="preserve"> </w:t>
      </w:r>
    </w:p>
    <w:p w14:paraId="6C2499F5" w14:textId="77777777" w:rsidR="00CE1364" w:rsidRDefault="00CE1364">
      <w:pPr>
        <w:pStyle w:val="ListParagraph"/>
        <w:rPr>
          <w:rFonts w:asciiTheme="majorBidi" w:eastAsiaTheme="minorEastAsia" w:hAnsiTheme="majorBidi" w:cstheme="majorBidi"/>
          <w:i/>
          <w:kern w:val="24"/>
        </w:rPr>
      </w:pPr>
    </w:p>
    <w:p w14:paraId="750D5F73" w14:textId="158D633B" w:rsidR="00CE1364" w:rsidRDefault="005430FB">
      <w:pPr>
        <w:pStyle w:val="P68B1DB1-ListParagraph10"/>
      </w:pPr>
      <w:r>
        <w:t>Pratiques suggérées</w:t>
      </w:r>
    </w:p>
    <w:p w14:paraId="0A97BDFD" w14:textId="77777777" w:rsidR="00CE1364" w:rsidRDefault="00CE1364">
      <w:pPr>
        <w:pStyle w:val="ListParagraph"/>
        <w:ind w:left="1080"/>
        <w:rPr>
          <w:rFonts w:asciiTheme="majorBidi" w:hAnsiTheme="majorBidi" w:cstheme="majorBidi"/>
        </w:rPr>
      </w:pPr>
    </w:p>
    <w:p w14:paraId="442909B3" w14:textId="507529CE" w:rsidR="00CE1364" w:rsidRDefault="005430FB">
      <w:pPr>
        <w:pStyle w:val="P68B1DB1-ListParagraph11"/>
        <w:numPr>
          <w:ilvl w:val="0"/>
          <w:numId w:val="34"/>
        </w:numPr>
        <w:ind w:left="1296" w:hanging="576"/>
      </w:pPr>
      <w:r>
        <w:t xml:space="preserve">Les fournisseurs de données administratives et autres </w:t>
      </w:r>
      <w:r w:rsidR="00C21E4B">
        <w:t xml:space="preserve">sources de données </w:t>
      </w:r>
      <w:r>
        <w:t>ont fourni une description de leurs procédures d’assurance qualité lors de la compilation et du traitement des données (y compris toute transformation, édition, estimation, traitement des unités</w:t>
      </w:r>
      <w:r w:rsidR="00C21E4B">
        <w:t xml:space="preserve"> et valeurs</w:t>
      </w:r>
      <w:r>
        <w:t xml:space="preserve"> manquantes, et valeurs aberrantes, etc.) dans la mesure du possible.</w:t>
      </w:r>
    </w:p>
    <w:p w14:paraId="7A604316" w14:textId="3B9D505F" w:rsidR="00CE1364" w:rsidRDefault="005430FB">
      <w:pPr>
        <w:pStyle w:val="P68B1DB1-ListParagraph11"/>
        <w:numPr>
          <w:ilvl w:val="0"/>
          <w:numId w:val="34"/>
        </w:numPr>
        <w:ind w:left="1296" w:hanging="576"/>
      </w:pPr>
      <w:r>
        <w:t xml:space="preserve">Les procédures d’assurance qualité des fournisseurs de données sont évaluées et les données qui en résultent sont, </w:t>
      </w:r>
      <w:r w:rsidR="00C21E4B">
        <w:t>en</w:t>
      </w:r>
      <w:r>
        <w:t xml:space="preserve"> générale, adéquates en ce qui concerne leur utilisation pour la production de</w:t>
      </w:r>
      <w:r w:rsidR="00BE2EBE">
        <w:t>s</w:t>
      </w:r>
      <w:r>
        <w:t xml:space="preserve"> statistiques officielles. </w:t>
      </w:r>
    </w:p>
    <w:p w14:paraId="59FA9B53" w14:textId="1D211D23" w:rsidR="00CE1364" w:rsidRDefault="005430FB">
      <w:pPr>
        <w:pStyle w:val="P68B1DB1-ListParagraph11"/>
        <w:numPr>
          <w:ilvl w:val="0"/>
          <w:numId w:val="34"/>
        </w:numPr>
        <w:ind w:left="1296" w:hanging="576"/>
      </w:pPr>
      <w:r>
        <w:t xml:space="preserve">Un rapport de qualité, une déclaration de qualité ou une note décrivant l’exactitude, l’exhaustivité, l’actualité, la ponctualité et d’autres caractéristiques pertinentes des données est élaboré </w:t>
      </w:r>
      <w:r w:rsidR="00C21E4B">
        <w:t>par</w:t>
      </w:r>
      <w:r>
        <w:t xml:space="preserve"> l’organisme statistique et le fournisseur de données.</w:t>
      </w:r>
    </w:p>
    <w:p w14:paraId="3126F8BA" w14:textId="117D3AFD" w:rsidR="00CE1364" w:rsidRDefault="005430FB">
      <w:pPr>
        <w:pStyle w:val="P68B1DB1-ListParagraph11"/>
        <w:numPr>
          <w:ilvl w:val="0"/>
          <w:numId w:val="34"/>
        </w:numPr>
        <w:ind w:left="1296" w:hanging="576"/>
      </w:pPr>
      <w:r>
        <w:t xml:space="preserve">Les résultats des audits de qualité et autres formes d’évaluation de la qualité </w:t>
      </w:r>
      <w:r w:rsidR="00C21E4B">
        <w:t xml:space="preserve">menés </w:t>
      </w:r>
      <w:r>
        <w:t>par le fournisseur de données ou auprès de celui-ci sont communiqués à l’organisme statistique, s’il y a lieu et si possible.</w:t>
      </w:r>
    </w:p>
    <w:p w14:paraId="7E25B490" w14:textId="77777777" w:rsidR="00CE1364" w:rsidRDefault="00CE1364">
      <w:pPr>
        <w:pStyle w:val="ListParagraph"/>
        <w:rPr>
          <w:rFonts w:asciiTheme="majorBidi" w:eastAsiaTheme="minorEastAsia" w:hAnsiTheme="majorBidi" w:cstheme="majorBidi"/>
          <w:kern w:val="24"/>
        </w:rPr>
      </w:pPr>
    </w:p>
    <w:p w14:paraId="4F30D968" w14:textId="2D2DD3EF" w:rsidR="00CE1364" w:rsidRDefault="005430FB">
      <w:pPr>
        <w:pStyle w:val="P68B1DB1-ListParagraph11"/>
        <w:numPr>
          <w:ilvl w:val="0"/>
          <w:numId w:val="1"/>
        </w:numPr>
      </w:pPr>
      <w:r>
        <w:rPr>
          <w:b/>
        </w:rPr>
        <w:t xml:space="preserve">La qualité des données </w:t>
      </w:r>
      <w:r w:rsidR="00E912B6">
        <w:rPr>
          <w:b/>
        </w:rPr>
        <w:t>d’entrée</w:t>
      </w:r>
      <w:r>
        <w:rPr>
          <w:b/>
        </w:rPr>
        <w:t xml:space="preserve"> est systématiquement évaluée par l’organisme statistique: </w:t>
      </w:r>
      <w:r>
        <w:t xml:space="preserve">La qualité des données </w:t>
      </w:r>
      <w:r w:rsidR="00E912B6">
        <w:t>d’entrée</w:t>
      </w:r>
      <w:r>
        <w:t xml:space="preserve"> est systématiquement et régulièrement évaluée et évaluée à toutes les étapes pertinentes du processus de production statistique. Cette exigence </w:t>
      </w:r>
      <w:r w:rsidR="00E912B6">
        <w:t xml:space="preserve">essentielle </w:t>
      </w:r>
      <w:r>
        <w:t>est prise en compte lors de la sélection d’une source de données (</w:t>
      </w:r>
      <w:r w:rsidR="00E912B6">
        <w:t>a</w:t>
      </w:r>
      <w:r>
        <w:t>ction 1 de l’approche conceptuelle), lors de l’utilisation des données (</w:t>
      </w:r>
      <w:r w:rsidR="00E912B6">
        <w:t>a</w:t>
      </w:r>
      <w:r>
        <w:t xml:space="preserve">ction 3 de l’approche conceptuelle) et dans le cadre de </w:t>
      </w:r>
      <w:r w:rsidR="00E912B6">
        <w:t xml:space="preserve">la considération générale </w:t>
      </w:r>
      <w:r>
        <w:t>2 de l’approche conceptuelle.</w:t>
      </w:r>
    </w:p>
    <w:p w14:paraId="3E77A34E" w14:textId="77777777" w:rsidR="00CE1364" w:rsidRDefault="00CE1364">
      <w:pPr>
        <w:pStyle w:val="ListParagraph"/>
        <w:rPr>
          <w:rFonts w:asciiTheme="majorBidi" w:eastAsiaTheme="minorEastAsia" w:hAnsiTheme="majorBidi" w:cstheme="majorBidi"/>
          <w:i/>
          <w:kern w:val="24"/>
        </w:rPr>
      </w:pPr>
    </w:p>
    <w:p w14:paraId="3470A3F5" w14:textId="524F1223" w:rsidR="00CE1364" w:rsidRDefault="005430FB">
      <w:pPr>
        <w:pStyle w:val="P68B1DB1-ListParagraph10"/>
      </w:pPr>
      <w:r>
        <w:t>Pratiques suggérées</w:t>
      </w:r>
    </w:p>
    <w:p w14:paraId="5380F75A" w14:textId="77777777" w:rsidR="00CE1364" w:rsidRDefault="00CE1364">
      <w:pPr>
        <w:pStyle w:val="ListParagraph"/>
        <w:rPr>
          <w:rFonts w:asciiTheme="majorBidi" w:eastAsiaTheme="minorEastAsia" w:hAnsiTheme="majorBidi" w:cstheme="majorBidi"/>
          <w:i/>
          <w:kern w:val="24"/>
        </w:rPr>
      </w:pPr>
    </w:p>
    <w:p w14:paraId="56C1EE34" w14:textId="0FB34EEC" w:rsidR="00CE1364" w:rsidRDefault="005430FB">
      <w:pPr>
        <w:pStyle w:val="P68B1DB1-ListParagraph11"/>
        <w:numPr>
          <w:ilvl w:val="0"/>
          <w:numId w:val="36"/>
        </w:numPr>
        <w:ind w:left="1296" w:hanging="576"/>
      </w:pPr>
      <w:r>
        <w:t xml:space="preserve">Les données administratives et autres </w:t>
      </w:r>
      <w:r w:rsidR="00E912B6">
        <w:t xml:space="preserve">données </w:t>
      </w:r>
      <w:r>
        <w:t>sont systématiquement évaluées au cours de la phase de sélection</w:t>
      </w:r>
      <w:r w:rsidR="00E912B6">
        <w:t>,</w:t>
      </w:r>
      <w:r>
        <w:t xml:space="preserve"> en coopération avec le fournisseur de données, </w:t>
      </w:r>
      <w:r w:rsidR="00E912B6">
        <w:t>en fonction d’</w:t>
      </w:r>
      <w:r>
        <w:t xml:space="preserve">un ensemble de critères objectifs prédéfinis </w:t>
      </w:r>
      <w:r w:rsidR="00E912B6">
        <w:t xml:space="preserve">concernant </w:t>
      </w:r>
      <w:r>
        <w:t xml:space="preserve">leur utilisation potentielle et leur utilité pour produire des statistiques officielles, </w:t>
      </w:r>
      <w:r w:rsidR="00E912B6">
        <w:t>notamment</w:t>
      </w:r>
      <w:r>
        <w:t xml:space="preserve"> en </w:t>
      </w:r>
      <w:r w:rsidR="00E912B6">
        <w:lastRenderedPageBreak/>
        <w:t xml:space="preserve">termes </w:t>
      </w:r>
      <w:r>
        <w:t xml:space="preserve">d’exactitude, d’exhaustivité, de couverture des différents groupes et d’éventuels biais </w:t>
      </w:r>
      <w:r w:rsidR="00E912B6">
        <w:t>dus à</w:t>
      </w:r>
      <w:r>
        <w:t xml:space="preserve"> la sous-représentation ou de la surreprésentation de groupes spécifiques, de la cohérence conceptuelle et de la comparabilité, de la dimension temporelle (</w:t>
      </w:r>
      <w:r w:rsidR="00E912B6">
        <w:t>actualité</w:t>
      </w:r>
      <w:r>
        <w:t xml:space="preserve">, périodicité et période de référence) et de l’accessibilité, y compris </w:t>
      </w:r>
      <w:r w:rsidR="0056138A">
        <w:t xml:space="preserve">en termes de </w:t>
      </w:r>
      <w:r>
        <w:t xml:space="preserve">coût et </w:t>
      </w:r>
      <w:r w:rsidR="0056138A">
        <w:t xml:space="preserve">de </w:t>
      </w:r>
      <w:r>
        <w:t xml:space="preserve">confidentialité. </w:t>
      </w:r>
    </w:p>
    <w:p w14:paraId="31D59784" w14:textId="5C69D832" w:rsidR="00CE1364" w:rsidRDefault="005430FB">
      <w:pPr>
        <w:pStyle w:val="P68B1DB1-ListParagraph11"/>
        <w:numPr>
          <w:ilvl w:val="0"/>
          <w:numId w:val="36"/>
        </w:numPr>
        <w:ind w:left="1296" w:hanging="576"/>
      </w:pPr>
      <w:r>
        <w:t xml:space="preserve">La sélection d’une source de données fait suite à une analyse coûts-avantages tenant compte des ressources humaines, des infrastructures et d’autres coûts et de la durabilité, </w:t>
      </w:r>
      <w:r w:rsidR="0056138A">
        <w:t xml:space="preserve">étant donné que </w:t>
      </w:r>
      <w:r>
        <w:t>l’utilisation de</w:t>
      </w:r>
      <w:r w:rsidR="0030418F">
        <w:t>s</w:t>
      </w:r>
      <w:r>
        <w:t xml:space="preserve"> données administratives et d’autres sources de données peut entraîner des coûts importants (par exemple, dans le cas </w:t>
      </w:r>
      <w:r w:rsidR="0030418F">
        <w:t>de jeux</w:t>
      </w:r>
      <w:r>
        <w:t xml:space="preserve"> de données brutes</w:t>
      </w:r>
      <w:r w:rsidR="00683F8E">
        <w:t xml:space="preserve"> très volumineux</w:t>
      </w:r>
      <w:r>
        <w:t xml:space="preserve">). </w:t>
      </w:r>
    </w:p>
    <w:p w14:paraId="68DC207F" w14:textId="268D2F8C" w:rsidR="00CE1364" w:rsidRDefault="005430FB">
      <w:pPr>
        <w:pStyle w:val="P68B1DB1-ListParagraph11"/>
        <w:numPr>
          <w:ilvl w:val="0"/>
          <w:numId w:val="36"/>
        </w:numPr>
        <w:ind w:left="1296" w:hanging="576"/>
      </w:pPr>
      <w:r>
        <w:t xml:space="preserve">Les données administratives et autres </w:t>
      </w:r>
      <w:r w:rsidR="00B266DB">
        <w:t xml:space="preserve">sources de </w:t>
      </w:r>
      <w:r w:rsidR="00683F8E">
        <w:t xml:space="preserve">données </w:t>
      </w:r>
      <w:r>
        <w:t>sont systématiquement et régulièrement évaluées avant et pendant l’utilisation pour vérifier l’exactitude, l’exhaustivité, la couverture des différents groupes et les biais éventuels en raison de la sous-représentation ou de la surreprésentation de groupes spécifiques, de la cohérence conceptuelle et de la comparabilité, de la dimension temporelle (temps, périodicité et période de référence), des contrôles techniques/accessibilité, ainsi que de l’intégrabilité/lia</w:t>
      </w:r>
      <w:r w:rsidR="0056138A">
        <w:t>ison,</w:t>
      </w:r>
      <w:r>
        <w:t xml:space="preserve"> et les résultats sont reflétés dans les rapports </w:t>
      </w:r>
      <w:r w:rsidR="0056138A">
        <w:t>périodiques sur la</w:t>
      </w:r>
      <w:r>
        <w:t xml:space="preserve"> qualité (voir annexe 1, tableau 1: Sous-module pour la validation des données d’entrée).  </w:t>
      </w:r>
    </w:p>
    <w:p w14:paraId="204C412B" w14:textId="77777777" w:rsidR="00CE1364" w:rsidRDefault="00CE1364">
      <w:pPr>
        <w:pStyle w:val="ListParagraph"/>
        <w:rPr>
          <w:rFonts w:asciiTheme="majorBidi" w:hAnsiTheme="majorBidi" w:cstheme="majorBidi"/>
        </w:rPr>
      </w:pPr>
    </w:p>
    <w:p w14:paraId="5B331C1D" w14:textId="59789311" w:rsidR="00CE1364" w:rsidRDefault="005430FB">
      <w:pPr>
        <w:pStyle w:val="P68B1DB1-ListParagraph12"/>
        <w:numPr>
          <w:ilvl w:val="0"/>
          <w:numId w:val="1"/>
        </w:numPr>
        <w:rPr>
          <w:rFonts w:asciiTheme="majorBidi" w:eastAsiaTheme="minorEastAsia" w:hAnsiTheme="majorBidi" w:cstheme="majorBidi"/>
          <w:i/>
        </w:rPr>
      </w:pPr>
      <w:r>
        <w:rPr>
          <w:rFonts w:asciiTheme="majorBidi" w:eastAsiaTheme="minorEastAsia" w:hAnsiTheme="majorBidi" w:cstheme="majorBidi"/>
          <w:b/>
        </w:rPr>
        <w:t xml:space="preserve">Il existe des métadonnées complètes concernant les données </w:t>
      </w:r>
      <w:r w:rsidR="002B2A9F">
        <w:rPr>
          <w:rFonts w:asciiTheme="majorBidi" w:eastAsiaTheme="minorEastAsia" w:hAnsiTheme="majorBidi" w:cstheme="majorBidi"/>
          <w:b/>
        </w:rPr>
        <w:t>de base</w:t>
      </w:r>
      <w:r>
        <w:rPr>
          <w:rFonts w:asciiTheme="majorBidi" w:hAnsiTheme="majorBidi" w:cstheme="majorBidi"/>
        </w:rPr>
        <w:t xml:space="preserve">: Il existe des métadonnées complètes et </w:t>
      </w:r>
      <w:r w:rsidR="00683F8E">
        <w:rPr>
          <w:rFonts w:asciiTheme="majorBidi" w:hAnsiTheme="majorBidi" w:cstheme="majorBidi"/>
        </w:rPr>
        <w:t xml:space="preserve">standardisées </w:t>
      </w:r>
      <w:r>
        <w:rPr>
          <w:rFonts w:asciiTheme="majorBidi" w:hAnsiTheme="majorBidi" w:cstheme="majorBidi"/>
        </w:rPr>
        <w:t xml:space="preserve">sur les données administratives et autres </w:t>
      </w:r>
      <w:r w:rsidR="00683F8E">
        <w:rPr>
          <w:rFonts w:asciiTheme="majorBidi" w:hAnsiTheme="majorBidi" w:cstheme="majorBidi"/>
        </w:rPr>
        <w:t xml:space="preserve">sources de données </w:t>
      </w:r>
      <w:r>
        <w:rPr>
          <w:rFonts w:asciiTheme="majorBidi" w:hAnsiTheme="majorBidi" w:cstheme="majorBidi"/>
        </w:rPr>
        <w:t xml:space="preserve">concernant les concepts, définitions et </w:t>
      </w:r>
      <w:r w:rsidR="00E77998">
        <w:t xml:space="preserve">nomenclature </w:t>
      </w:r>
      <w:r>
        <w:rPr>
          <w:rFonts w:asciiTheme="majorBidi" w:hAnsiTheme="majorBidi" w:cstheme="majorBidi"/>
        </w:rPr>
        <w:t xml:space="preserve">utilisés, la structure des données, les unités et les variables (et les valeurs possibles), la couverture (population), la zone de référence, la période de référence, l’actualité, la méthode de collecte, le traitement des données, y compris pour les valeurs aberrantes, les erreurs, les estimations et les imputations, le nombre d’enregistrements, le format des données et des fichiers, les changements passés et futurs au fil du temps (stabilité), etc. Cette exigence </w:t>
      </w:r>
      <w:r w:rsidR="00683F8E">
        <w:rPr>
          <w:rFonts w:asciiTheme="majorBidi" w:hAnsiTheme="majorBidi" w:cstheme="majorBidi"/>
        </w:rPr>
        <w:t xml:space="preserve">essentielle </w:t>
      </w:r>
      <w:r>
        <w:rPr>
          <w:rFonts w:asciiTheme="majorBidi" w:hAnsiTheme="majorBidi" w:cstheme="majorBidi"/>
        </w:rPr>
        <w:t xml:space="preserve">est prise en compte lors de la sélection d’une source de données (action 1 de l’approche conceptuelle), lors de l’utilisation et de la diffusion des données (Action 3 et action 4 de l’approche conceptuelle) et dans le cadre de </w:t>
      </w:r>
      <w:r w:rsidR="00683F8E">
        <w:rPr>
          <w:rFonts w:asciiTheme="majorBidi" w:hAnsiTheme="majorBidi" w:cstheme="majorBidi"/>
        </w:rPr>
        <w:t>la considération générale</w:t>
      </w:r>
      <w:r>
        <w:rPr>
          <w:rFonts w:asciiTheme="majorBidi" w:hAnsiTheme="majorBidi" w:cstheme="majorBidi"/>
        </w:rPr>
        <w:t xml:space="preserve"> 2 de l’approche conceptuelle.</w:t>
      </w:r>
      <w:r>
        <w:rPr>
          <w:rFonts w:asciiTheme="majorBidi" w:eastAsiaTheme="minorEastAsia" w:hAnsiTheme="majorBidi" w:cstheme="majorBidi"/>
          <w:i/>
        </w:rPr>
        <w:t xml:space="preserve"> </w:t>
      </w:r>
    </w:p>
    <w:p w14:paraId="52CA632B" w14:textId="77777777" w:rsidR="00CE1364" w:rsidRDefault="00CE1364">
      <w:pPr>
        <w:pStyle w:val="ListParagraph"/>
        <w:rPr>
          <w:rFonts w:asciiTheme="majorBidi" w:eastAsiaTheme="minorEastAsia" w:hAnsiTheme="majorBidi" w:cstheme="majorBidi"/>
          <w:i/>
          <w:kern w:val="24"/>
        </w:rPr>
      </w:pPr>
    </w:p>
    <w:p w14:paraId="3C87462A" w14:textId="77777777" w:rsidR="00CE1364" w:rsidRDefault="005430FB">
      <w:pPr>
        <w:pStyle w:val="P68B1DB1-ListParagraph10"/>
      </w:pPr>
      <w:r>
        <w:t>Pratiques suggérées</w:t>
      </w:r>
    </w:p>
    <w:p w14:paraId="6F5AE0AD" w14:textId="77777777" w:rsidR="00CE1364" w:rsidRDefault="00CE1364">
      <w:pPr>
        <w:pStyle w:val="ListParagraph"/>
        <w:rPr>
          <w:rFonts w:asciiTheme="majorBidi" w:eastAsiaTheme="minorEastAsia" w:hAnsiTheme="majorBidi" w:cstheme="majorBidi"/>
          <w:i/>
          <w:kern w:val="24"/>
        </w:rPr>
      </w:pPr>
    </w:p>
    <w:p w14:paraId="394B5245" w14:textId="3230857D" w:rsidR="00CE1364" w:rsidRDefault="00E77998">
      <w:pPr>
        <w:pStyle w:val="P68B1DB1-ListParagraph11"/>
        <w:numPr>
          <w:ilvl w:val="0"/>
          <w:numId w:val="35"/>
        </w:numPr>
        <w:ind w:left="1296" w:hanging="576"/>
      </w:pPr>
      <w:r>
        <w:t>Les</w:t>
      </w:r>
      <w:r w:rsidR="005430FB">
        <w:t xml:space="preserve"> informations complètes </w:t>
      </w:r>
      <w:r w:rsidR="00683F8E">
        <w:t xml:space="preserve">sont fournies </w:t>
      </w:r>
      <w:r w:rsidR="005430FB">
        <w:t xml:space="preserve">sur les concepts, définitions et </w:t>
      </w:r>
      <w:r>
        <w:t>nomenclature</w:t>
      </w:r>
      <w:r w:rsidR="00875301">
        <w:t>s</w:t>
      </w:r>
      <w:r>
        <w:t xml:space="preserve"> </w:t>
      </w:r>
      <w:r w:rsidR="005430FB">
        <w:t>utilisé</w:t>
      </w:r>
      <w:r>
        <w:t>e</w:t>
      </w:r>
      <w:r w:rsidR="005430FB">
        <w:t>s.</w:t>
      </w:r>
    </w:p>
    <w:p w14:paraId="199FFF41" w14:textId="65947A5E" w:rsidR="00CE1364" w:rsidRDefault="00E77998">
      <w:pPr>
        <w:pStyle w:val="P68B1DB1-ListParagraph11"/>
        <w:numPr>
          <w:ilvl w:val="0"/>
          <w:numId w:val="35"/>
        </w:numPr>
        <w:ind w:left="1296" w:hanging="576"/>
      </w:pPr>
      <w:r>
        <w:t>Les</w:t>
      </w:r>
      <w:r w:rsidR="005430FB">
        <w:t xml:space="preserve"> informations complètes</w:t>
      </w:r>
      <w:r w:rsidR="00683F8E">
        <w:t xml:space="preserve"> sont disponibles</w:t>
      </w:r>
      <w:r w:rsidR="005430FB">
        <w:t xml:space="preserve"> sur </w:t>
      </w:r>
      <w:r w:rsidR="00875301">
        <w:t xml:space="preserve">les jeux </w:t>
      </w:r>
      <w:r w:rsidR="005430FB">
        <w:t xml:space="preserve">de données, </w:t>
      </w:r>
      <w:r w:rsidR="00683F8E">
        <w:t>notamment</w:t>
      </w:r>
      <w:r w:rsidR="005430FB">
        <w:t xml:space="preserve"> la structure des données, les unités et les variables (et les valeurs et ensembles de codes possibles), la couverture (population), la zone de référence, la période de référence et l’actualité.</w:t>
      </w:r>
    </w:p>
    <w:p w14:paraId="2A102074" w14:textId="1C8801B0" w:rsidR="00CE1364" w:rsidRDefault="00D2235C">
      <w:pPr>
        <w:pStyle w:val="P68B1DB1-ListParagraph11"/>
        <w:numPr>
          <w:ilvl w:val="0"/>
          <w:numId w:val="35"/>
        </w:numPr>
        <w:ind w:left="1296" w:hanging="576"/>
      </w:pPr>
      <w:r>
        <w:t>Les</w:t>
      </w:r>
      <w:r w:rsidR="005430FB">
        <w:t xml:space="preserve"> informations détaillées</w:t>
      </w:r>
      <w:r w:rsidR="00683F8E">
        <w:t xml:space="preserve"> sont </w:t>
      </w:r>
      <w:r w:rsidR="00041642">
        <w:t xml:space="preserve">fournies </w:t>
      </w:r>
      <w:r w:rsidR="005430FB">
        <w:t>sur la base et la méthode de collecte, de traitement et d’édition des données, y compris pour les valeurs aberrantes, les erreurs, les estimations, les imputations et l’utilisation d’algorithmes, de logiciels et d’</w:t>
      </w:r>
      <w:r w:rsidR="00041642">
        <w:t>intelligence artificielle</w:t>
      </w:r>
      <w:r w:rsidR="005430FB">
        <w:t xml:space="preserve"> chez le fournisseur de données, ainsi que toutes les règles et réglementations relatives à la production des données, le cas échéant.</w:t>
      </w:r>
    </w:p>
    <w:p w14:paraId="47B9D2B0" w14:textId="7196D57D" w:rsidR="00CE1364" w:rsidRDefault="003903A7">
      <w:pPr>
        <w:pStyle w:val="P68B1DB1-ListParagraph11"/>
        <w:numPr>
          <w:ilvl w:val="0"/>
          <w:numId w:val="35"/>
        </w:numPr>
        <w:ind w:left="1296" w:hanging="576"/>
      </w:pPr>
      <w:r>
        <w:lastRenderedPageBreak/>
        <w:t>Les</w:t>
      </w:r>
      <w:r w:rsidR="005430FB">
        <w:t xml:space="preserve"> informations </w:t>
      </w:r>
      <w:r w:rsidR="00041642">
        <w:t xml:space="preserve">sont produites </w:t>
      </w:r>
      <w:r w:rsidR="005430FB">
        <w:t>sur le nombre d’enregistrements, les données et le format de fichier.</w:t>
      </w:r>
    </w:p>
    <w:p w14:paraId="2DE838DC" w14:textId="788A0A17" w:rsidR="00CE1364" w:rsidRDefault="005430FB">
      <w:pPr>
        <w:pStyle w:val="ListParagraph"/>
        <w:numPr>
          <w:ilvl w:val="0"/>
          <w:numId w:val="35"/>
        </w:numPr>
        <w:ind w:left="1296" w:hanging="576"/>
        <w:rPr>
          <w:rFonts w:asciiTheme="majorBidi" w:eastAsiaTheme="minorEastAsia" w:hAnsiTheme="majorBidi" w:cstheme="majorBidi"/>
          <w:kern w:val="24"/>
        </w:rPr>
      </w:pPr>
      <w:r>
        <w:rPr>
          <w:rFonts w:asciiTheme="majorBidi" w:eastAsiaTheme="minorEastAsia" w:hAnsiTheme="majorBidi" w:cstheme="majorBidi"/>
          <w:kern w:val="24"/>
        </w:rPr>
        <w:t>Les métadonnées suivent un format standard.</w:t>
      </w:r>
      <w:r>
        <w:rPr>
          <w:rStyle w:val="FootnoteReference"/>
          <w:rFonts w:asciiTheme="majorBidi" w:eastAsiaTheme="minorEastAsia" w:hAnsiTheme="majorBidi" w:cstheme="majorBidi"/>
          <w:kern w:val="24"/>
        </w:rPr>
        <w:footnoteReference w:id="16"/>
      </w:r>
    </w:p>
    <w:p w14:paraId="3ED48DE4" w14:textId="00E980F8" w:rsidR="00CE1364" w:rsidRDefault="00F703D1">
      <w:pPr>
        <w:pStyle w:val="P68B1DB1-ListParagraph11"/>
        <w:numPr>
          <w:ilvl w:val="0"/>
          <w:numId w:val="35"/>
        </w:numPr>
        <w:ind w:left="1296" w:hanging="576"/>
      </w:pPr>
      <w:r>
        <w:t>Les</w:t>
      </w:r>
      <w:r w:rsidR="005430FB">
        <w:t xml:space="preserve"> informations complètes </w:t>
      </w:r>
      <w:r w:rsidR="00041642">
        <w:t xml:space="preserve">sont fournies </w:t>
      </w:r>
      <w:r w:rsidR="005430FB">
        <w:t>sur les modifications pertinentes passées et prévues de la compilation des données au fil du temps (stabilité).</w:t>
      </w:r>
    </w:p>
    <w:p w14:paraId="4E0E23D7" w14:textId="7E7EB4BA" w:rsidR="00CE1364" w:rsidRDefault="005430FB">
      <w:pPr>
        <w:pStyle w:val="P68B1DB1-ListParagraph11"/>
        <w:numPr>
          <w:ilvl w:val="0"/>
          <w:numId w:val="35"/>
        </w:numPr>
        <w:ind w:left="1296" w:hanging="576"/>
      </w:pPr>
      <w:r>
        <w:t xml:space="preserve">Les limites </w:t>
      </w:r>
      <w:r w:rsidR="00041642">
        <w:t xml:space="preserve">éventuelles </w:t>
      </w:r>
      <w:r>
        <w:t>de la source de données pour la production de</w:t>
      </w:r>
      <w:r w:rsidR="001222D1">
        <w:t>s</w:t>
      </w:r>
      <w:r>
        <w:t xml:space="preserve"> statistiques officielles sont identifiées, </w:t>
      </w:r>
      <w:r w:rsidR="00041642">
        <w:t xml:space="preserve">notamment </w:t>
      </w:r>
      <w:r>
        <w:t>celles liées à la couverture de la population, à l’exhaustivité de l’information, à l’éventuel biais et à l’alignement des unités administratives avec les unités statistiques d’intérêt (p. ex. unité fiscale par rapport à l’établissement ou à l’entreprise).</w:t>
      </w:r>
    </w:p>
    <w:p w14:paraId="08F6297C" w14:textId="77777777" w:rsidR="00CE1364" w:rsidRDefault="00CE1364">
      <w:pPr>
        <w:pStyle w:val="ListParagraph"/>
        <w:rPr>
          <w:rFonts w:asciiTheme="majorBidi" w:eastAsiaTheme="minorEastAsia" w:hAnsiTheme="majorBidi" w:cstheme="majorBidi"/>
          <w:i/>
          <w:kern w:val="24"/>
        </w:rPr>
      </w:pPr>
    </w:p>
    <w:p w14:paraId="01A107CC" w14:textId="35786C68" w:rsidR="00CE1364" w:rsidRDefault="005430FB">
      <w:pPr>
        <w:pStyle w:val="ListParagraph"/>
        <w:keepNext/>
        <w:keepLines/>
        <w:numPr>
          <w:ilvl w:val="0"/>
          <w:numId w:val="1"/>
        </w:numPr>
        <w:rPr>
          <w:rFonts w:asciiTheme="majorBidi" w:eastAsiaTheme="minorEastAsia" w:hAnsiTheme="majorBidi" w:cstheme="majorBidi"/>
          <w:i/>
          <w:kern w:val="24"/>
        </w:rPr>
      </w:pPr>
      <w:r>
        <w:rPr>
          <w:rFonts w:asciiTheme="majorBidi" w:eastAsiaTheme="minorEastAsia" w:hAnsiTheme="majorBidi" w:cstheme="majorBidi"/>
          <w:b/>
          <w:kern w:val="24"/>
        </w:rPr>
        <w:t xml:space="preserve">Le traitement des données </w:t>
      </w:r>
      <w:r w:rsidR="00AF041E">
        <w:rPr>
          <w:rFonts w:asciiTheme="majorBidi" w:eastAsiaTheme="minorEastAsia" w:hAnsiTheme="majorBidi" w:cstheme="majorBidi"/>
          <w:b/>
          <w:kern w:val="24"/>
        </w:rPr>
        <w:t>de base</w:t>
      </w:r>
      <w:r>
        <w:rPr>
          <w:rFonts w:asciiTheme="majorBidi" w:eastAsiaTheme="minorEastAsia" w:hAnsiTheme="majorBidi" w:cstheme="majorBidi"/>
          <w:b/>
          <w:kern w:val="24"/>
        </w:rPr>
        <w:t xml:space="preserve"> par l’organisme statistique respecte les normes, les directives et les meilleures pratiques: </w:t>
      </w:r>
      <w:r>
        <w:rPr>
          <w:rFonts w:asciiTheme="majorBidi" w:hAnsiTheme="majorBidi" w:cstheme="majorBidi"/>
        </w:rPr>
        <w:t xml:space="preserve">Le traitement et l’édition des données suivent les normes, les lignes directrices et les meilleures pratiques, et sont documentés et </w:t>
      </w:r>
      <w:r w:rsidR="00731752">
        <w:rPr>
          <w:rFonts w:asciiTheme="majorBidi" w:hAnsiTheme="majorBidi" w:cstheme="majorBidi"/>
        </w:rPr>
        <w:t>contrôlés</w:t>
      </w:r>
      <w:r>
        <w:rPr>
          <w:rFonts w:asciiTheme="majorBidi" w:hAnsiTheme="majorBidi" w:cstheme="majorBidi"/>
        </w:rPr>
        <w:t xml:space="preserve">. Il existe une collaboration </w:t>
      </w:r>
      <w:r w:rsidR="00731752">
        <w:rPr>
          <w:rFonts w:asciiTheme="majorBidi" w:hAnsiTheme="majorBidi" w:cstheme="majorBidi"/>
        </w:rPr>
        <w:t xml:space="preserve">permanente </w:t>
      </w:r>
      <w:r>
        <w:rPr>
          <w:rFonts w:asciiTheme="majorBidi" w:hAnsiTheme="majorBidi" w:cstheme="majorBidi"/>
        </w:rPr>
        <w:t xml:space="preserve">avec le fournisseur de données. </w:t>
      </w:r>
      <w:r>
        <w:rPr>
          <w:rFonts w:asciiTheme="majorBidi" w:eastAsiaTheme="minorEastAsia" w:hAnsiTheme="majorBidi" w:cstheme="majorBidi"/>
          <w:kern w:val="24"/>
        </w:rPr>
        <w:t xml:space="preserve">Cette exigence </w:t>
      </w:r>
      <w:r w:rsidR="00731752">
        <w:rPr>
          <w:rFonts w:asciiTheme="majorBidi" w:eastAsiaTheme="minorEastAsia" w:hAnsiTheme="majorBidi" w:cstheme="majorBidi"/>
          <w:kern w:val="24"/>
        </w:rPr>
        <w:t xml:space="preserve">essentielle </w:t>
      </w:r>
      <w:r>
        <w:rPr>
          <w:rFonts w:asciiTheme="majorBidi" w:eastAsiaTheme="minorEastAsia" w:hAnsiTheme="majorBidi" w:cstheme="majorBidi"/>
          <w:kern w:val="24"/>
        </w:rPr>
        <w:t>est prise en compte lors de l’utilisation des données (</w:t>
      </w:r>
      <w:r w:rsidR="00AF041E">
        <w:rPr>
          <w:rFonts w:asciiTheme="majorBidi" w:eastAsiaTheme="minorEastAsia" w:hAnsiTheme="majorBidi" w:cstheme="majorBidi"/>
          <w:kern w:val="24"/>
        </w:rPr>
        <w:t>A</w:t>
      </w:r>
      <w:r>
        <w:rPr>
          <w:rFonts w:asciiTheme="majorBidi" w:eastAsiaTheme="minorEastAsia" w:hAnsiTheme="majorBidi" w:cstheme="majorBidi"/>
          <w:kern w:val="24"/>
        </w:rPr>
        <w:t xml:space="preserve">ction 3 de l’approche conceptuelle) et d’une partie de </w:t>
      </w:r>
      <w:r w:rsidR="00731752">
        <w:rPr>
          <w:rFonts w:asciiTheme="majorBidi" w:eastAsiaTheme="minorEastAsia" w:hAnsiTheme="majorBidi" w:cstheme="majorBidi"/>
          <w:kern w:val="24"/>
        </w:rPr>
        <w:t xml:space="preserve">la </w:t>
      </w:r>
      <w:r w:rsidR="00AF041E">
        <w:rPr>
          <w:rFonts w:asciiTheme="majorBidi" w:eastAsiaTheme="minorEastAsia" w:hAnsiTheme="majorBidi" w:cstheme="majorBidi"/>
          <w:kern w:val="24"/>
        </w:rPr>
        <w:t>C</w:t>
      </w:r>
      <w:r w:rsidR="00731752">
        <w:rPr>
          <w:rFonts w:asciiTheme="majorBidi" w:eastAsiaTheme="minorEastAsia" w:hAnsiTheme="majorBidi" w:cstheme="majorBidi"/>
          <w:kern w:val="24"/>
        </w:rPr>
        <w:t>onsidération générale</w:t>
      </w:r>
      <w:r>
        <w:rPr>
          <w:rFonts w:asciiTheme="majorBidi" w:eastAsiaTheme="minorEastAsia" w:hAnsiTheme="majorBidi" w:cstheme="majorBidi"/>
          <w:kern w:val="24"/>
        </w:rPr>
        <w:t xml:space="preserve"> 2 de l’approche conceptuelle.</w:t>
      </w:r>
      <w:r>
        <w:rPr>
          <w:rFonts w:asciiTheme="majorBidi" w:eastAsiaTheme="minorEastAsia" w:hAnsiTheme="majorBidi" w:cstheme="majorBidi"/>
          <w:i/>
          <w:kern w:val="24"/>
        </w:rPr>
        <w:t xml:space="preserve"> </w:t>
      </w:r>
    </w:p>
    <w:p w14:paraId="3BCB072A" w14:textId="77777777" w:rsidR="00CE1364" w:rsidRDefault="00CE1364">
      <w:pPr>
        <w:pStyle w:val="ListParagraph"/>
        <w:keepNext/>
        <w:keepLines/>
        <w:rPr>
          <w:rFonts w:asciiTheme="majorBidi" w:eastAsiaTheme="minorEastAsia" w:hAnsiTheme="majorBidi" w:cstheme="majorBidi"/>
          <w:i/>
          <w:kern w:val="24"/>
        </w:rPr>
      </w:pPr>
    </w:p>
    <w:p w14:paraId="550A9574" w14:textId="77777777" w:rsidR="00CE1364" w:rsidRDefault="005430FB">
      <w:pPr>
        <w:pStyle w:val="P68B1DB1-ListParagraph10"/>
      </w:pPr>
      <w:r>
        <w:t>Pratiques suggérées</w:t>
      </w:r>
    </w:p>
    <w:p w14:paraId="45E09D97" w14:textId="77777777" w:rsidR="00CE1364" w:rsidRDefault="00CE1364">
      <w:pPr>
        <w:pStyle w:val="ListParagraph"/>
        <w:keepNext/>
        <w:keepLines/>
        <w:rPr>
          <w:rFonts w:asciiTheme="majorBidi" w:eastAsiaTheme="minorEastAsia" w:hAnsiTheme="majorBidi" w:cstheme="majorBidi"/>
          <w:i/>
          <w:kern w:val="24"/>
        </w:rPr>
      </w:pPr>
    </w:p>
    <w:p w14:paraId="26E152C5" w14:textId="44663DF5" w:rsidR="00CE1364" w:rsidRDefault="00731752">
      <w:pPr>
        <w:pStyle w:val="P68B1DB1-ListParagraph11"/>
        <w:numPr>
          <w:ilvl w:val="0"/>
          <w:numId w:val="37"/>
        </w:numPr>
        <w:ind w:left="1296" w:hanging="576"/>
      </w:pPr>
      <w:r>
        <w:t>Les</w:t>
      </w:r>
      <w:r w:rsidR="005430FB">
        <w:t xml:space="preserve"> lignes directrices </w:t>
      </w:r>
      <w:r>
        <w:t xml:space="preserve">sont disponibles </w:t>
      </w:r>
      <w:r w:rsidR="005430FB">
        <w:t xml:space="preserve">pour l’assurance et la gestion de la qualité au sein de l’organisme statistique </w:t>
      </w:r>
      <w:r>
        <w:t>lors de l’utilisation d</w:t>
      </w:r>
      <w:r w:rsidR="005430FB">
        <w:t>es données administratives et autres</w:t>
      </w:r>
      <w:r>
        <w:t xml:space="preserve"> sources de données.</w:t>
      </w:r>
      <w:r w:rsidR="00592AF9">
        <w:t xml:space="preserve"> Ces lignes directrices</w:t>
      </w:r>
      <w:r w:rsidR="005430FB">
        <w:t xml:space="preserve"> devraient être </w:t>
      </w:r>
      <w:r w:rsidR="00592AF9">
        <w:t xml:space="preserve">standardisées </w:t>
      </w:r>
      <w:r w:rsidR="005430FB">
        <w:t xml:space="preserve">autant que possible </w:t>
      </w:r>
      <w:r w:rsidR="00592AF9">
        <w:t>et</w:t>
      </w:r>
      <w:r w:rsidR="005430FB">
        <w:t xml:space="preserve"> </w:t>
      </w:r>
      <w:r w:rsidR="00592AF9">
        <w:t>reflétées</w:t>
      </w:r>
      <w:r w:rsidR="005430FB">
        <w:t xml:space="preserve"> également les circonstances particulières.</w:t>
      </w:r>
    </w:p>
    <w:p w14:paraId="74A7F56F" w14:textId="69CC8908" w:rsidR="00CE1364" w:rsidRDefault="005430FB">
      <w:pPr>
        <w:pStyle w:val="P68B1DB1-ListParagraph11"/>
        <w:numPr>
          <w:ilvl w:val="0"/>
          <w:numId w:val="37"/>
        </w:numPr>
        <w:ind w:left="1296" w:hanging="576"/>
      </w:pPr>
      <w:r>
        <w:t xml:space="preserve">Le modèle </w:t>
      </w:r>
      <w:r w:rsidR="00592AF9">
        <w:t xml:space="preserve">générique </w:t>
      </w:r>
      <w:r>
        <w:t>d</w:t>
      </w:r>
      <w:r w:rsidR="00592AF9">
        <w:t>u</w:t>
      </w:r>
      <w:r>
        <w:t xml:space="preserve"> processus </w:t>
      </w:r>
      <w:r w:rsidR="00592AF9">
        <w:t xml:space="preserve">de production </w:t>
      </w:r>
      <w:r>
        <w:t>statistique est utilisé pour structurer et documenter le processus statistique.</w:t>
      </w:r>
    </w:p>
    <w:p w14:paraId="19B4CA4B" w14:textId="00B421A1" w:rsidR="00CE1364" w:rsidRDefault="005430FB">
      <w:pPr>
        <w:pStyle w:val="P68B1DB1-ListParagraph11"/>
        <w:numPr>
          <w:ilvl w:val="0"/>
          <w:numId w:val="37"/>
        </w:numPr>
        <w:ind w:left="1296" w:hanging="576"/>
      </w:pPr>
      <w:r>
        <w:t xml:space="preserve">Les processus de prétraitement et de traitement des données, y compris les contrôles de qualité, la gestion des erreurs, la </w:t>
      </w:r>
      <w:r w:rsidR="00AF041E">
        <w:t>standardisation</w:t>
      </w:r>
      <w:r>
        <w:t>, la transformation et l’agrégation des données, l’estimation et l’imputation au sein de l’</w:t>
      </w:r>
      <w:r w:rsidR="00592AF9">
        <w:t xml:space="preserve">organisme </w:t>
      </w:r>
      <w:r>
        <w:t xml:space="preserve">statistique sont bien documentés, testés et </w:t>
      </w:r>
      <w:r w:rsidR="00592AF9">
        <w:t>contrôlés</w:t>
      </w:r>
      <w:r>
        <w:t>, et suivent les meilleures pratiques.</w:t>
      </w:r>
    </w:p>
    <w:p w14:paraId="619A5D55" w14:textId="197AC2BB" w:rsidR="00CE1364" w:rsidRDefault="005430FB">
      <w:pPr>
        <w:pStyle w:val="P68B1DB1-ListParagraph11"/>
        <w:numPr>
          <w:ilvl w:val="0"/>
          <w:numId w:val="37"/>
        </w:numPr>
        <w:ind w:left="1296" w:hanging="576"/>
      </w:pPr>
      <w:r>
        <w:t xml:space="preserve">L’impact de tout changement conceptuel ou autre affectant les données administratives et autres </w:t>
      </w:r>
      <w:r w:rsidR="00592AF9">
        <w:t xml:space="preserve">sources de données </w:t>
      </w:r>
      <w:r>
        <w:t>est systématiquement évalué par l’organisme statistique.</w:t>
      </w:r>
    </w:p>
    <w:p w14:paraId="7BAEEE1D" w14:textId="158D3DFA" w:rsidR="00CE1364" w:rsidRDefault="005430FB">
      <w:pPr>
        <w:pStyle w:val="P68B1DB1-ListParagraph11"/>
        <w:numPr>
          <w:ilvl w:val="0"/>
          <w:numId w:val="37"/>
        </w:numPr>
        <w:ind w:left="1296" w:hanging="576"/>
      </w:pPr>
      <w:r>
        <w:t>Les fournisseurs de données sont consultés par l’</w:t>
      </w:r>
      <w:r w:rsidR="00592AF9">
        <w:t>organisme</w:t>
      </w:r>
      <w:r>
        <w:t xml:space="preserve"> statistique en cas de questions et de problèmes de qualité.</w:t>
      </w:r>
    </w:p>
    <w:p w14:paraId="1DE3DFBC" w14:textId="4DE4EF6B" w:rsidR="00CE1364" w:rsidRDefault="005430FB">
      <w:pPr>
        <w:pStyle w:val="P68B1DB1-ListParagraph11"/>
        <w:numPr>
          <w:ilvl w:val="0"/>
          <w:numId w:val="37"/>
        </w:numPr>
        <w:ind w:left="1296" w:hanging="576"/>
      </w:pPr>
      <w:r>
        <w:t xml:space="preserve">La qualité des produits statistiques, </w:t>
      </w:r>
      <w:r w:rsidR="00592AF9">
        <w:t>notamment d</w:t>
      </w:r>
      <w:r>
        <w:t xml:space="preserve">es registres statistiques fondés sur </w:t>
      </w:r>
      <w:r w:rsidR="00AF041E">
        <w:t>les donn</w:t>
      </w:r>
      <w:r w:rsidR="00AF041E">
        <w:rPr>
          <w:lang w:val="fr-FR"/>
        </w:rPr>
        <w:t xml:space="preserve">ées </w:t>
      </w:r>
      <w:r>
        <w:t>administratives et autres</w:t>
      </w:r>
      <w:r w:rsidR="00592AF9">
        <w:t xml:space="preserve"> sources de données</w:t>
      </w:r>
      <w:r>
        <w:t xml:space="preserve">, est systématiquement évaluée par l’organisme statistique. </w:t>
      </w:r>
    </w:p>
    <w:p w14:paraId="23101ACA" w14:textId="62C1CCA3" w:rsidR="00CE1364" w:rsidRDefault="005430FB">
      <w:pPr>
        <w:pStyle w:val="P68B1DB1-ListParagraph11"/>
        <w:numPr>
          <w:ilvl w:val="0"/>
          <w:numId w:val="37"/>
        </w:numPr>
        <w:ind w:left="1296" w:hanging="576"/>
      </w:pPr>
      <w:r>
        <w:lastRenderedPageBreak/>
        <w:t>L’utilisation de</w:t>
      </w:r>
      <w:r w:rsidR="00AF041E">
        <w:t>s</w:t>
      </w:r>
      <w:r>
        <w:t xml:space="preserve"> données administratives et autres </w:t>
      </w:r>
      <w:r w:rsidR="00592AF9">
        <w:t xml:space="preserve">sources de données </w:t>
      </w:r>
      <w:r>
        <w:t>est encouragée et pratiquée au sein de l’organisme de statistique, notamment par l’échange de</w:t>
      </w:r>
      <w:r w:rsidR="005D6F19">
        <w:t>s</w:t>
      </w:r>
      <w:r>
        <w:t xml:space="preserve"> données avec d’autres unités administratives et d’autres organismes statistiques, et par l’établissement d’un couplage des données, en utilisant des outils, des technologies et des méthodes de pointe, y compris le SDMX.</w:t>
      </w:r>
    </w:p>
    <w:p w14:paraId="2E9F9BE7" w14:textId="77777777" w:rsidR="00CE1364" w:rsidRDefault="00CE1364">
      <w:pPr>
        <w:pStyle w:val="ListParagraph"/>
        <w:rPr>
          <w:rFonts w:asciiTheme="majorBidi" w:eastAsiaTheme="minorEastAsia" w:hAnsiTheme="majorBidi" w:cstheme="majorBidi"/>
          <w:i/>
          <w:kern w:val="24"/>
        </w:rPr>
      </w:pPr>
    </w:p>
    <w:p w14:paraId="3EA0C86C" w14:textId="4E12CFDE" w:rsidR="00CE1364" w:rsidRDefault="005430FB">
      <w:pPr>
        <w:pStyle w:val="P68B1DB1-ListParagraph11"/>
        <w:keepNext/>
        <w:keepLines/>
        <w:numPr>
          <w:ilvl w:val="0"/>
          <w:numId w:val="1"/>
        </w:numPr>
      </w:pPr>
      <w:r>
        <w:rPr>
          <w:b/>
        </w:rPr>
        <w:t xml:space="preserve">La diffusion des résultats statistiques répond aux besoins des utilisateurs. </w:t>
      </w:r>
      <w:r>
        <w:t xml:space="preserve">Les caractéristiques particulières des données administratives et autres </w:t>
      </w:r>
      <w:r w:rsidR="006B432E">
        <w:t xml:space="preserve">sources de données </w:t>
      </w:r>
      <w:r>
        <w:t xml:space="preserve">sont prises en compte lors de la diffusion des </w:t>
      </w:r>
      <w:r w:rsidR="006B432E">
        <w:t xml:space="preserve">produits </w:t>
      </w:r>
      <w:r>
        <w:t>statistiques.</w:t>
      </w:r>
      <w:r>
        <w:rPr>
          <w:b/>
        </w:rPr>
        <w:t xml:space="preserve"> </w:t>
      </w:r>
      <w:r>
        <w:t xml:space="preserve">Cette exigence </w:t>
      </w:r>
      <w:r w:rsidR="006B432E">
        <w:t xml:space="preserve">essentielle </w:t>
      </w:r>
      <w:r>
        <w:t>est prise en compte dans la diffusion des produits statistiques (</w:t>
      </w:r>
      <w:r w:rsidR="005D6F19">
        <w:t>A</w:t>
      </w:r>
      <w:r>
        <w:t xml:space="preserve">ction 4 de l’approche conceptuelle) et dans le cadre des </w:t>
      </w:r>
      <w:r w:rsidR="005D6F19">
        <w:t>C</w:t>
      </w:r>
      <w:r>
        <w:t xml:space="preserve">onsidérations générales 1 et 2 de l’approche conceptuelle. </w:t>
      </w:r>
    </w:p>
    <w:p w14:paraId="6A2D23AF" w14:textId="77777777" w:rsidR="00CE1364" w:rsidRDefault="00CE1364">
      <w:pPr>
        <w:pStyle w:val="ListParagraph"/>
        <w:keepNext/>
        <w:keepLines/>
        <w:rPr>
          <w:rFonts w:asciiTheme="majorBidi" w:eastAsiaTheme="minorEastAsia" w:hAnsiTheme="majorBidi" w:cstheme="majorBidi"/>
          <w:i/>
          <w:kern w:val="24"/>
        </w:rPr>
      </w:pPr>
    </w:p>
    <w:p w14:paraId="1BEEEF59" w14:textId="77777777" w:rsidR="00CE1364" w:rsidRDefault="005430FB">
      <w:pPr>
        <w:pStyle w:val="P68B1DB1-ListParagraph10"/>
        <w:keepNext/>
        <w:keepLines/>
      </w:pPr>
      <w:r>
        <w:t>Pratiques suggérées</w:t>
      </w:r>
    </w:p>
    <w:p w14:paraId="6AF6DFA7" w14:textId="77777777" w:rsidR="00CE1364" w:rsidRDefault="00CE1364">
      <w:pPr>
        <w:pStyle w:val="ListParagraph"/>
        <w:keepNext/>
        <w:keepLines/>
        <w:rPr>
          <w:rFonts w:asciiTheme="majorBidi" w:eastAsiaTheme="minorEastAsia" w:hAnsiTheme="majorBidi" w:cstheme="majorBidi"/>
          <w:i/>
          <w:kern w:val="24"/>
        </w:rPr>
      </w:pPr>
    </w:p>
    <w:p w14:paraId="04DF22DF" w14:textId="74A3F1CD" w:rsidR="00CE1364" w:rsidRDefault="005430FB">
      <w:pPr>
        <w:pStyle w:val="P68B1DB1-ListParagraph11"/>
        <w:keepNext/>
        <w:keepLines/>
        <w:numPr>
          <w:ilvl w:val="0"/>
          <w:numId w:val="38"/>
        </w:numPr>
        <w:ind w:left="1296" w:hanging="576"/>
      </w:pPr>
      <w:r>
        <w:t>L’utilisation de</w:t>
      </w:r>
      <w:r w:rsidR="005D6F19">
        <w:t>s</w:t>
      </w:r>
      <w:r>
        <w:t xml:space="preserve"> données administratives et autres</w:t>
      </w:r>
      <w:r w:rsidR="006B432E">
        <w:t xml:space="preserve"> sources de données</w:t>
      </w:r>
      <w:r>
        <w:t xml:space="preserve"> est fondée sur les nouveaux besoins de la société en matière d’information, </w:t>
      </w:r>
      <w:r w:rsidR="00A27CE7">
        <w:t>notamment</w:t>
      </w:r>
      <w:r>
        <w:t xml:space="preserve"> la consultation des utilisateurs; la satisfaction des utilisateurs est régulièrement mesurée et suivie.</w:t>
      </w:r>
    </w:p>
    <w:p w14:paraId="57B25A23" w14:textId="564555A1" w:rsidR="00CE1364" w:rsidRDefault="005430FB">
      <w:pPr>
        <w:pStyle w:val="P68B1DB1-ListParagraph11"/>
        <w:numPr>
          <w:ilvl w:val="0"/>
          <w:numId w:val="38"/>
        </w:numPr>
        <w:ind w:left="1296" w:hanging="576"/>
      </w:pPr>
      <w:r>
        <w:t xml:space="preserve">Les utilisateurs reçoivent des métadonnées </w:t>
      </w:r>
      <w:r w:rsidR="00A27CE7">
        <w:t xml:space="preserve">standardisées </w:t>
      </w:r>
      <w:r>
        <w:t xml:space="preserve">et des rapports sur la qualité ou des déclarations </w:t>
      </w:r>
      <w:r w:rsidR="00A27CE7">
        <w:t xml:space="preserve">de qualité </w:t>
      </w:r>
      <w:r>
        <w:t xml:space="preserve">qui informent sur l’utilisation des données administratives et d’autres sources de données et sur les aspects pertinents de la qualité, ainsi que sur les limites de la production statistique, </w:t>
      </w:r>
      <w:r w:rsidR="00A27CE7">
        <w:t>notamment</w:t>
      </w:r>
      <w:r>
        <w:t xml:space="preserve"> l’exactitude, la fiabilité, la cohérence et la comparabilité.</w:t>
      </w:r>
    </w:p>
    <w:p w14:paraId="39359C18" w14:textId="4DA9821B" w:rsidR="00CE1364" w:rsidRDefault="005430FB">
      <w:pPr>
        <w:pStyle w:val="P68B1DB1-ListParagraph11"/>
        <w:numPr>
          <w:ilvl w:val="0"/>
          <w:numId w:val="38"/>
        </w:numPr>
        <w:ind w:left="1296" w:hanging="576"/>
      </w:pPr>
      <w:r>
        <w:t xml:space="preserve">Les indicateurs de qualité sont adaptés pour informer sur la qualité des statistiques basées sur </w:t>
      </w:r>
      <w:r w:rsidR="00BE1317">
        <w:t xml:space="preserve">les </w:t>
      </w:r>
      <w:r>
        <w:t>données administratives et autres</w:t>
      </w:r>
      <w:r w:rsidR="00A27CE7">
        <w:t xml:space="preserve"> sources de données</w:t>
      </w:r>
      <w:r>
        <w:t>.</w:t>
      </w:r>
    </w:p>
    <w:p w14:paraId="28910524" w14:textId="237A2B65" w:rsidR="00CE1364" w:rsidRDefault="005430FB">
      <w:pPr>
        <w:pStyle w:val="P68B1DB1-ListParagraph11"/>
        <w:numPr>
          <w:ilvl w:val="0"/>
          <w:numId w:val="38"/>
        </w:numPr>
        <w:ind w:left="1296" w:hanging="576"/>
      </w:pPr>
      <w:r>
        <w:t xml:space="preserve">L’accès aux microdonnées provenant de sources administratives et autres sources de données est soumis aux règles et protocoles </w:t>
      </w:r>
      <w:r w:rsidR="00BE1317">
        <w:t>de l’</w:t>
      </w:r>
      <w:r w:rsidR="00A27CE7">
        <w:t xml:space="preserve">organismes </w:t>
      </w:r>
      <w:r>
        <w:t>statistique en matière de confidentialité statistique, sauf si des dispositions différentes ont été convenues avec les autorités compétentes et le fournisseur de données et sont mises à la disposition du public, le cas échéant.</w:t>
      </w:r>
    </w:p>
    <w:p w14:paraId="57CC6B70" w14:textId="67B84486" w:rsidR="00CE1364" w:rsidRDefault="00CE1364">
      <w:pPr>
        <w:rPr>
          <w:rFonts w:asciiTheme="majorBidi" w:hAnsiTheme="majorBidi" w:cstheme="majorBidi"/>
          <w:kern w:val="24"/>
        </w:rPr>
      </w:pPr>
    </w:p>
    <w:p w14:paraId="40E03056" w14:textId="0370DA52" w:rsidR="00CE1364" w:rsidRDefault="005430FB">
      <w:pPr>
        <w:pStyle w:val="P68B1DB1-ListParagraph13"/>
        <w:numPr>
          <w:ilvl w:val="0"/>
          <w:numId w:val="38"/>
        </w:numPr>
        <w:ind w:left="1296" w:hanging="576"/>
      </w:pPr>
      <w:r>
        <w:br w:type="page"/>
      </w:r>
    </w:p>
    <w:p w14:paraId="3CFEE25B" w14:textId="21D0BCAB" w:rsidR="00CE1364" w:rsidRDefault="005430FB">
      <w:pPr>
        <w:pStyle w:val="P68B1DB1-Normal14"/>
        <w:keepNext/>
        <w:keepLines/>
        <w:spacing w:after="0"/>
      </w:pPr>
      <w:r>
        <w:lastRenderedPageBreak/>
        <w:t xml:space="preserve">Annexe 1: Sous-module de validation des données </w:t>
      </w:r>
      <w:r w:rsidR="00BE1317">
        <w:t xml:space="preserve">de base </w:t>
      </w:r>
      <w:r>
        <w:t>et liste d</w:t>
      </w:r>
      <w:r w:rsidR="00BE1317">
        <w:t xml:space="preserve">es </w:t>
      </w:r>
      <w:r>
        <w:t xml:space="preserve">indicateurs supplémentaires pour évaluer les dix exigences </w:t>
      </w:r>
      <w:r w:rsidR="001A5F74">
        <w:t xml:space="preserve">essentielles </w:t>
      </w:r>
    </w:p>
    <w:p w14:paraId="6682A535" w14:textId="77777777" w:rsidR="00CE1364" w:rsidRDefault="00CE1364">
      <w:pPr>
        <w:keepNext/>
        <w:keepLines/>
        <w:spacing w:after="0"/>
        <w:rPr>
          <w:rFonts w:asciiTheme="majorBidi" w:hAnsiTheme="majorBidi" w:cstheme="majorBidi"/>
          <w:b/>
          <w:sz w:val="24"/>
        </w:rPr>
      </w:pPr>
    </w:p>
    <w:p w14:paraId="56C9874C" w14:textId="28D2DF31" w:rsidR="00CE1364" w:rsidRDefault="005430FB">
      <w:pPr>
        <w:rPr>
          <w:rFonts w:ascii="Times New Roman" w:hAnsi="Times New Roman" w:cs="Times New Roman"/>
          <w:color w:val="000000" w:themeColor="text1"/>
          <w:sz w:val="24"/>
        </w:rPr>
      </w:pPr>
      <w:r>
        <w:rPr>
          <w:rFonts w:ascii="Times New Roman" w:hAnsi="Times New Roman" w:cs="Times New Roman"/>
          <w:b/>
          <w:color w:val="000000" w:themeColor="text1"/>
          <w:sz w:val="24"/>
        </w:rPr>
        <w:t>Le tableau 1</w:t>
      </w:r>
      <w:r>
        <w:rPr>
          <w:rFonts w:ascii="Times New Roman" w:hAnsi="Times New Roman" w:cs="Times New Roman"/>
          <w:color w:val="000000" w:themeColor="text1"/>
          <w:sz w:val="24"/>
        </w:rPr>
        <w:t xml:space="preserve"> fournit un sous-module pour la validation des données </w:t>
      </w:r>
      <w:r w:rsidR="00BE1317">
        <w:rPr>
          <w:rFonts w:ascii="Times New Roman" w:hAnsi="Times New Roman" w:cs="Times New Roman"/>
          <w:color w:val="000000" w:themeColor="text1"/>
          <w:sz w:val="24"/>
        </w:rPr>
        <w:t>de base</w:t>
      </w:r>
      <w:r>
        <w:rPr>
          <w:rFonts w:ascii="Times New Roman" w:hAnsi="Times New Roman" w:cs="Times New Roman"/>
          <w:color w:val="000000" w:themeColor="text1"/>
          <w:sz w:val="24"/>
        </w:rPr>
        <w:t xml:space="preserve"> une fois </w:t>
      </w:r>
      <w:r w:rsidR="00BE1317">
        <w:rPr>
          <w:rFonts w:ascii="Times New Roman" w:hAnsi="Times New Roman" w:cs="Times New Roman"/>
          <w:color w:val="000000" w:themeColor="text1"/>
          <w:sz w:val="24"/>
        </w:rPr>
        <w:t>qu’elles</w:t>
      </w:r>
      <w:r>
        <w:rPr>
          <w:rFonts w:ascii="Times New Roman" w:hAnsi="Times New Roman" w:cs="Times New Roman"/>
          <w:color w:val="000000" w:themeColor="text1"/>
          <w:sz w:val="24"/>
        </w:rPr>
        <w:t xml:space="preserve"> sont reçues par l’organisme statistique</w:t>
      </w:r>
      <w:r w:rsidR="00BE1317">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du fournisseur.</w:t>
      </w:r>
      <w:r>
        <w:rPr>
          <w:rStyle w:val="FootnoteReference"/>
          <w:rFonts w:asciiTheme="majorBidi" w:hAnsiTheme="majorBidi" w:cstheme="majorBidi"/>
          <w:sz w:val="24"/>
        </w:rPr>
        <w:footnoteReference w:id="17"/>
      </w:r>
      <w:r>
        <w:rPr>
          <w:rFonts w:ascii="Times New Roman" w:hAnsi="Times New Roman" w:cs="Times New Roman"/>
          <w:color w:val="000000" w:themeColor="text1"/>
          <w:sz w:val="24"/>
        </w:rPr>
        <w:t xml:space="preserve"> Les indicateurs de qualité </w:t>
      </w:r>
      <w:r w:rsidR="00A44E0D">
        <w:rPr>
          <w:rFonts w:ascii="Times New Roman" w:hAnsi="Times New Roman" w:cs="Times New Roman"/>
          <w:color w:val="000000" w:themeColor="text1"/>
          <w:sz w:val="24"/>
        </w:rPr>
        <w:t>proposé</w:t>
      </w:r>
      <w:r w:rsidR="00BE1317">
        <w:rPr>
          <w:rFonts w:ascii="Times New Roman" w:hAnsi="Times New Roman" w:cs="Times New Roman"/>
          <w:color w:val="000000" w:themeColor="text1"/>
          <w:sz w:val="24"/>
        </w:rPr>
        <w:t>s</w:t>
      </w:r>
      <w:r w:rsidR="00A44E0D">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peuvent faire partie d’un rapport sur la qualité que l’organisme statistique produit chaque fois qu’il reçoit des données. La plupart des contrôles peuvent être automatisés et font partie de ce que l’on appelle généralement la validation structurelle d’un </w:t>
      </w:r>
      <w:r w:rsidR="00BE1317">
        <w:rPr>
          <w:rFonts w:ascii="Times New Roman" w:hAnsi="Times New Roman" w:cs="Times New Roman"/>
          <w:color w:val="000000" w:themeColor="text1"/>
          <w:sz w:val="24"/>
        </w:rPr>
        <w:t xml:space="preserve">jeu </w:t>
      </w:r>
      <w:r>
        <w:rPr>
          <w:rFonts w:ascii="Times New Roman" w:hAnsi="Times New Roman" w:cs="Times New Roman"/>
          <w:color w:val="000000" w:themeColor="text1"/>
          <w:sz w:val="24"/>
        </w:rPr>
        <w:t>de données.</w:t>
      </w:r>
      <w:r>
        <w:rPr>
          <w:rStyle w:val="FootnoteReference"/>
          <w:rFonts w:ascii="Times New Roman" w:hAnsi="Times New Roman" w:cs="Times New Roman"/>
          <w:color w:val="000000" w:themeColor="text1"/>
          <w:sz w:val="24"/>
        </w:rPr>
        <w:footnoteReference w:id="18"/>
      </w:r>
      <w:r>
        <w:rPr>
          <w:rFonts w:ascii="Times New Roman" w:hAnsi="Times New Roman" w:cs="Times New Roman"/>
          <w:color w:val="000000" w:themeColor="text1"/>
          <w:sz w:val="24"/>
        </w:rPr>
        <w:t xml:space="preserve"> Ce rapport de validation des données </w:t>
      </w:r>
      <w:r w:rsidR="00BE1317">
        <w:rPr>
          <w:rFonts w:ascii="Times New Roman" w:hAnsi="Times New Roman" w:cs="Times New Roman"/>
          <w:color w:val="000000" w:themeColor="text1"/>
          <w:sz w:val="24"/>
        </w:rPr>
        <w:t xml:space="preserve">de base </w:t>
      </w:r>
      <w:r>
        <w:rPr>
          <w:rFonts w:ascii="Times New Roman" w:hAnsi="Times New Roman" w:cs="Times New Roman"/>
          <w:color w:val="000000" w:themeColor="text1"/>
          <w:sz w:val="24"/>
        </w:rPr>
        <w:t xml:space="preserve">peut être partagé avec le fournisseur de données. En fonction de la situation spécifique et de l’accord de coopération, de nouvelles mesures pourraient être prises en vue d’une intégration de l’assurance qualité au sein </w:t>
      </w:r>
      <w:r w:rsidR="00A44E0D">
        <w:rPr>
          <w:rFonts w:ascii="Times New Roman" w:hAnsi="Times New Roman" w:cs="Times New Roman"/>
          <w:color w:val="000000" w:themeColor="text1"/>
          <w:sz w:val="24"/>
        </w:rPr>
        <w:t xml:space="preserve">des processus de production </w:t>
      </w:r>
      <w:r>
        <w:rPr>
          <w:rFonts w:ascii="Times New Roman" w:hAnsi="Times New Roman" w:cs="Times New Roman"/>
          <w:color w:val="000000" w:themeColor="text1"/>
          <w:sz w:val="24"/>
        </w:rPr>
        <w:t xml:space="preserve">du fournisseur de données et de </w:t>
      </w:r>
      <w:r w:rsidR="00A44E0D">
        <w:rPr>
          <w:rFonts w:ascii="Times New Roman" w:hAnsi="Times New Roman" w:cs="Times New Roman"/>
          <w:color w:val="000000" w:themeColor="text1"/>
          <w:sz w:val="24"/>
        </w:rPr>
        <w:t xml:space="preserve">l’organisme </w:t>
      </w:r>
      <w:r>
        <w:rPr>
          <w:rFonts w:ascii="Times New Roman" w:hAnsi="Times New Roman" w:cs="Times New Roman"/>
          <w:color w:val="000000" w:themeColor="text1"/>
          <w:sz w:val="24"/>
        </w:rPr>
        <w:t xml:space="preserve">statistique, ce qui pourrait également inclure une coopération sur la manière de traiter des problèmes spécifiques de qualité. Les indicateurs d’exactitude, d’exhaustivité et de représentativité et l’indicateur 23 sur la comparabilité des unités sont susceptibles d’être inclus dans les rapports </w:t>
      </w:r>
      <w:r w:rsidR="009F254F">
        <w:rPr>
          <w:rFonts w:ascii="Times New Roman" w:hAnsi="Times New Roman" w:cs="Times New Roman"/>
          <w:color w:val="000000" w:themeColor="text1"/>
          <w:sz w:val="24"/>
        </w:rPr>
        <w:t>sur la</w:t>
      </w:r>
      <w:r>
        <w:rPr>
          <w:rFonts w:ascii="Times New Roman" w:hAnsi="Times New Roman" w:cs="Times New Roman"/>
          <w:color w:val="000000" w:themeColor="text1"/>
          <w:sz w:val="24"/>
        </w:rPr>
        <w:t xml:space="preserve"> qualité </w:t>
      </w:r>
      <w:r w:rsidR="009F254F">
        <w:rPr>
          <w:rFonts w:ascii="Times New Roman" w:hAnsi="Times New Roman" w:cs="Times New Roman"/>
          <w:color w:val="000000" w:themeColor="text1"/>
          <w:sz w:val="24"/>
        </w:rPr>
        <w:t xml:space="preserve">destinés aux </w:t>
      </w:r>
      <w:r>
        <w:rPr>
          <w:rFonts w:ascii="Times New Roman" w:hAnsi="Times New Roman" w:cs="Times New Roman"/>
          <w:color w:val="000000" w:themeColor="text1"/>
          <w:sz w:val="24"/>
        </w:rPr>
        <w:t>utilisateurs.</w:t>
      </w:r>
    </w:p>
    <w:p w14:paraId="07579D8F" w14:textId="3CC91C83" w:rsidR="00CE1364" w:rsidRDefault="005430FB">
      <w:pPr>
        <w:pStyle w:val="P68B1DB1-Normal2"/>
        <w:keepNext/>
        <w:keepLines/>
        <w:spacing w:after="0"/>
        <w:rPr>
          <w:b/>
        </w:rPr>
      </w:pPr>
      <w:r>
        <w:rPr>
          <w:b/>
        </w:rPr>
        <w:t xml:space="preserve">Tableau 1: </w:t>
      </w:r>
      <w:r>
        <w:t xml:space="preserve">Sous-module pour la validation des données </w:t>
      </w:r>
      <w:r w:rsidR="00BE1317">
        <w:t>de base</w:t>
      </w:r>
      <w:r>
        <w:t>: Indicateurs (numériques) possibles*</w:t>
      </w:r>
    </w:p>
    <w:tbl>
      <w:tblPr>
        <w:tblStyle w:val="TableGrid"/>
        <w:tblpPr w:leftFromText="141" w:rightFromText="141" w:vertAnchor="text" w:tblpY="1"/>
        <w:tblOverlap w:val="never"/>
        <w:tblW w:w="0" w:type="auto"/>
        <w:tblLook w:val="04A0" w:firstRow="1" w:lastRow="0" w:firstColumn="1" w:lastColumn="0" w:noHBand="0" w:noVBand="1"/>
      </w:tblPr>
      <w:tblGrid>
        <w:gridCol w:w="2738"/>
        <w:gridCol w:w="4917"/>
        <w:gridCol w:w="1695"/>
      </w:tblGrid>
      <w:tr w:rsidR="00CE1364" w14:paraId="37F26410" w14:textId="77777777" w:rsidTr="00E94DC8">
        <w:trPr>
          <w:tblHeader/>
        </w:trPr>
        <w:tc>
          <w:tcPr>
            <w:tcW w:w="2450" w:type="dxa"/>
            <w:shd w:val="clear" w:color="auto" w:fill="D5DCE4" w:themeFill="text2" w:themeFillTint="33"/>
          </w:tcPr>
          <w:p w14:paraId="36FD30FE" w14:textId="25A14AF4" w:rsidR="00CE1364" w:rsidRDefault="005430FB">
            <w:pPr>
              <w:pStyle w:val="P68B1DB1-Normal15"/>
            </w:pPr>
            <w:r>
              <w:t>Dimensions de qualité/objet</w:t>
            </w:r>
          </w:p>
        </w:tc>
        <w:tc>
          <w:tcPr>
            <w:tcW w:w="5197" w:type="dxa"/>
            <w:shd w:val="clear" w:color="auto" w:fill="D5DCE4" w:themeFill="text2" w:themeFillTint="33"/>
          </w:tcPr>
          <w:p w14:paraId="2A4D4F8D" w14:textId="64BE78B4" w:rsidR="00CE1364" w:rsidRDefault="005430FB">
            <w:pPr>
              <w:pStyle w:val="P68B1DB1-Normal15"/>
            </w:pPr>
            <w:r>
              <w:t>Indicateurs</w:t>
            </w:r>
          </w:p>
        </w:tc>
        <w:tc>
          <w:tcPr>
            <w:tcW w:w="1703" w:type="dxa"/>
            <w:shd w:val="clear" w:color="auto" w:fill="D5DCE4" w:themeFill="text2" w:themeFillTint="33"/>
          </w:tcPr>
          <w:p w14:paraId="72F18E70" w14:textId="0A57B2E6" w:rsidR="00CE1364" w:rsidRDefault="007D44F2">
            <w:pPr>
              <w:pStyle w:val="P68B1DB1-Normal15"/>
            </w:pPr>
            <w:r>
              <w:t>Mesures</w:t>
            </w:r>
          </w:p>
        </w:tc>
      </w:tr>
      <w:tr w:rsidR="00CE1364" w14:paraId="493B8F4D" w14:textId="77777777" w:rsidTr="00E94DC8">
        <w:tc>
          <w:tcPr>
            <w:tcW w:w="2450" w:type="dxa"/>
          </w:tcPr>
          <w:p w14:paraId="68F57993" w14:textId="6DAC3BE6" w:rsidR="00CE1364" w:rsidRDefault="005430FB">
            <w:pPr>
              <w:pStyle w:val="P68B1DB1-Normal15"/>
            </w:pPr>
            <w:r>
              <w:t>Contrôles techniques/accessibilité</w:t>
            </w:r>
          </w:p>
        </w:tc>
        <w:tc>
          <w:tcPr>
            <w:tcW w:w="5197" w:type="dxa"/>
          </w:tcPr>
          <w:p w14:paraId="2C45EC59" w14:textId="77777777" w:rsidR="00CE1364" w:rsidRDefault="00CE1364">
            <w:pPr>
              <w:rPr>
                <w:rFonts w:asciiTheme="majorBidi" w:hAnsiTheme="majorBidi" w:cstheme="majorBidi"/>
                <w:sz w:val="20"/>
              </w:rPr>
            </w:pPr>
          </w:p>
        </w:tc>
        <w:tc>
          <w:tcPr>
            <w:tcW w:w="1703" w:type="dxa"/>
          </w:tcPr>
          <w:p w14:paraId="1188D40C" w14:textId="77777777" w:rsidR="00CE1364" w:rsidRDefault="00CE1364">
            <w:pPr>
              <w:rPr>
                <w:rFonts w:asciiTheme="majorBidi" w:hAnsiTheme="majorBidi" w:cstheme="majorBidi"/>
                <w:sz w:val="20"/>
              </w:rPr>
            </w:pPr>
          </w:p>
        </w:tc>
      </w:tr>
      <w:tr w:rsidR="00CE1364" w14:paraId="47D6C1DD" w14:textId="77777777" w:rsidTr="00E94DC8">
        <w:tc>
          <w:tcPr>
            <w:tcW w:w="2450" w:type="dxa"/>
          </w:tcPr>
          <w:p w14:paraId="0CF546A1" w14:textId="6176C4D8" w:rsidR="00CE1364" w:rsidRDefault="00A763B0">
            <w:pPr>
              <w:pStyle w:val="P68B1DB1-ListParagraph16"/>
              <w:numPr>
                <w:ilvl w:val="0"/>
                <w:numId w:val="21"/>
              </w:numPr>
            </w:pPr>
            <w:r>
              <w:t xml:space="preserve">Jeu </w:t>
            </w:r>
            <w:r w:rsidR="005430FB">
              <w:t>de données</w:t>
            </w:r>
          </w:p>
        </w:tc>
        <w:tc>
          <w:tcPr>
            <w:tcW w:w="5197" w:type="dxa"/>
          </w:tcPr>
          <w:p w14:paraId="38A3572B" w14:textId="246A8184" w:rsidR="00CE1364" w:rsidRDefault="005430FB">
            <w:pPr>
              <w:pStyle w:val="P68B1DB1-Normal17"/>
            </w:pPr>
            <w:r>
              <w:t xml:space="preserve">1. Lisibilité/accessibilité: </w:t>
            </w:r>
            <w:r w:rsidR="00BE1317">
              <w:t xml:space="preserve">Le jeu </w:t>
            </w:r>
            <w:r>
              <w:t>de données de la source est accessible et lisible par machine</w:t>
            </w:r>
          </w:p>
        </w:tc>
        <w:tc>
          <w:tcPr>
            <w:tcW w:w="1703" w:type="dxa"/>
          </w:tcPr>
          <w:p w14:paraId="6D53EDCD" w14:textId="1376F965" w:rsidR="00CE1364" w:rsidRDefault="005430FB">
            <w:pPr>
              <w:pStyle w:val="P68B1DB1-Normal18"/>
            </w:pPr>
            <w:r>
              <w:t>Oui/Non</w:t>
            </w:r>
          </w:p>
        </w:tc>
      </w:tr>
      <w:tr w:rsidR="00CE1364" w14:paraId="767BA726" w14:textId="77777777" w:rsidTr="00E94DC8">
        <w:tc>
          <w:tcPr>
            <w:tcW w:w="2450" w:type="dxa"/>
          </w:tcPr>
          <w:p w14:paraId="1FC22FDA" w14:textId="77777777" w:rsidR="00CE1364" w:rsidRDefault="00CE1364">
            <w:pPr>
              <w:rPr>
                <w:rFonts w:asciiTheme="majorBidi" w:hAnsiTheme="majorBidi" w:cstheme="majorBidi"/>
                <w:b/>
                <w:sz w:val="20"/>
              </w:rPr>
            </w:pPr>
          </w:p>
        </w:tc>
        <w:tc>
          <w:tcPr>
            <w:tcW w:w="5197" w:type="dxa"/>
          </w:tcPr>
          <w:p w14:paraId="77B28FB7" w14:textId="4F58BA87" w:rsidR="00CE1364" w:rsidRDefault="005430FB">
            <w:pPr>
              <w:pStyle w:val="P68B1DB1-Normal18"/>
            </w:pPr>
            <w:r>
              <w:t xml:space="preserve">2. </w:t>
            </w:r>
            <w:r w:rsidR="009F254F">
              <w:t>Conformité de la s</w:t>
            </w:r>
            <w:r>
              <w:t xml:space="preserve">tructure des fichiers et </w:t>
            </w:r>
            <w:r w:rsidR="009F254F">
              <w:t>des</w:t>
            </w:r>
            <w:r>
              <w:t xml:space="preserve"> métadonnées: </w:t>
            </w:r>
            <w:r w:rsidR="00A763B0">
              <w:t xml:space="preserve">Le jeu </w:t>
            </w:r>
            <w:r>
              <w:t>de données contient tous les champs attendus</w:t>
            </w:r>
          </w:p>
        </w:tc>
        <w:tc>
          <w:tcPr>
            <w:tcW w:w="1703" w:type="dxa"/>
          </w:tcPr>
          <w:p w14:paraId="1840514D" w14:textId="3AA4C690" w:rsidR="00CE1364" w:rsidRDefault="005430FB">
            <w:pPr>
              <w:pStyle w:val="P68B1DB1-Normal18"/>
            </w:pPr>
            <w:r>
              <w:t>Oui/Non/Inconnu</w:t>
            </w:r>
          </w:p>
        </w:tc>
      </w:tr>
      <w:tr w:rsidR="00CE1364" w14:paraId="1F9725EF" w14:textId="77777777" w:rsidTr="00E94DC8">
        <w:tc>
          <w:tcPr>
            <w:tcW w:w="2450" w:type="dxa"/>
          </w:tcPr>
          <w:p w14:paraId="7BF9C63E" w14:textId="77777777" w:rsidR="00CE1364" w:rsidRDefault="00CE1364">
            <w:pPr>
              <w:rPr>
                <w:rFonts w:asciiTheme="majorBidi" w:hAnsiTheme="majorBidi" w:cstheme="majorBidi"/>
                <w:b/>
                <w:sz w:val="20"/>
              </w:rPr>
            </w:pPr>
          </w:p>
        </w:tc>
        <w:tc>
          <w:tcPr>
            <w:tcW w:w="5197" w:type="dxa"/>
          </w:tcPr>
          <w:p w14:paraId="3837277E" w14:textId="440709BD" w:rsidR="00CE1364" w:rsidRDefault="005430FB">
            <w:pPr>
              <w:pStyle w:val="P68B1DB1-Normal17"/>
            </w:pPr>
            <w:r>
              <w:t>3. Nombre d’enregistrements: Nombre d</w:t>
            </w:r>
            <w:r w:rsidR="009F254F">
              <w:t xml:space="preserve">’enregistrement </w:t>
            </w:r>
            <w:r>
              <w:t xml:space="preserve">reçus divisés par nombre </w:t>
            </w:r>
            <w:r w:rsidR="009F254F">
              <w:t>d’enregistrement</w:t>
            </w:r>
            <w:r w:rsidR="009F254F" w:rsidDel="009F254F">
              <w:t xml:space="preserve"> </w:t>
            </w:r>
            <w:r>
              <w:t>attendus (p</w:t>
            </w:r>
            <w:r w:rsidR="009F254F">
              <w:t xml:space="preserve">ar </w:t>
            </w:r>
            <w:r>
              <w:t>ex</w:t>
            </w:r>
            <w:r w:rsidR="009F254F">
              <w:t>emple</w:t>
            </w:r>
            <w:r>
              <w:t xml:space="preserve">, </w:t>
            </w:r>
            <w:r w:rsidR="009F254F">
              <w:t xml:space="preserve">le nombre d’enregistrement de la </w:t>
            </w:r>
            <w:r>
              <w:t xml:space="preserve">dernière </w:t>
            </w:r>
            <w:r w:rsidR="009F254F">
              <w:t>transmission</w:t>
            </w:r>
            <w:r>
              <w:t>)</w:t>
            </w:r>
          </w:p>
        </w:tc>
        <w:tc>
          <w:tcPr>
            <w:tcW w:w="1703" w:type="dxa"/>
          </w:tcPr>
          <w:p w14:paraId="36F2E710" w14:textId="65481710" w:rsidR="00CE1364" w:rsidRDefault="005430FB">
            <w:pPr>
              <w:pStyle w:val="P68B1DB1-Normal17"/>
            </w:pPr>
            <w:r>
              <w:t>Pourcentage</w:t>
            </w:r>
          </w:p>
        </w:tc>
      </w:tr>
      <w:tr w:rsidR="00CE1364" w14:paraId="47E4B56D" w14:textId="77777777" w:rsidTr="00E94DC8">
        <w:tc>
          <w:tcPr>
            <w:tcW w:w="2450" w:type="dxa"/>
          </w:tcPr>
          <w:p w14:paraId="7ADD7B73" w14:textId="5BB04360" w:rsidR="00CE1364" w:rsidRDefault="005430FB">
            <w:pPr>
              <w:pStyle w:val="P68B1DB1-ListParagraph16"/>
              <w:numPr>
                <w:ilvl w:val="0"/>
                <w:numId w:val="21"/>
              </w:numPr>
            </w:pPr>
            <w:r>
              <w:t>Variables</w:t>
            </w:r>
          </w:p>
        </w:tc>
        <w:tc>
          <w:tcPr>
            <w:tcW w:w="5197" w:type="dxa"/>
          </w:tcPr>
          <w:p w14:paraId="1DD5F2B3" w14:textId="247EADEA" w:rsidR="00CE1364" w:rsidRDefault="005430FB">
            <w:pPr>
              <w:pStyle w:val="P68B1DB1-Normal17"/>
            </w:pPr>
            <w:r>
              <w:t>4. Nombre de variables: Nombre d’enregistrements ayant une valeur valide pour une variable divisé par le nombre d’enregistrements</w:t>
            </w:r>
          </w:p>
        </w:tc>
        <w:tc>
          <w:tcPr>
            <w:tcW w:w="1703" w:type="dxa"/>
          </w:tcPr>
          <w:p w14:paraId="33CC83B0" w14:textId="1FC37E1F" w:rsidR="00CE1364" w:rsidRDefault="005430FB">
            <w:pPr>
              <w:pStyle w:val="P68B1DB1-Normal17"/>
            </w:pPr>
            <w:r>
              <w:t>Pourcentage</w:t>
            </w:r>
          </w:p>
        </w:tc>
      </w:tr>
      <w:tr w:rsidR="00CE1364" w14:paraId="2414AB2F" w14:textId="77777777" w:rsidTr="00E94DC8">
        <w:tc>
          <w:tcPr>
            <w:tcW w:w="2450" w:type="dxa"/>
          </w:tcPr>
          <w:p w14:paraId="6583F8E7" w14:textId="7DF8D746" w:rsidR="00CE1364" w:rsidRDefault="005430FB">
            <w:pPr>
              <w:pStyle w:val="P68B1DB1-Normal15"/>
            </w:pPr>
            <w:r>
              <w:t>Précision (mesures numériques)</w:t>
            </w:r>
          </w:p>
        </w:tc>
        <w:tc>
          <w:tcPr>
            <w:tcW w:w="5197" w:type="dxa"/>
          </w:tcPr>
          <w:p w14:paraId="12F0B18E" w14:textId="77777777" w:rsidR="00CE1364" w:rsidRDefault="00CE1364">
            <w:pPr>
              <w:rPr>
                <w:rFonts w:asciiTheme="majorBidi" w:hAnsiTheme="majorBidi" w:cstheme="majorBidi"/>
                <w:sz w:val="20"/>
              </w:rPr>
            </w:pPr>
          </w:p>
        </w:tc>
        <w:tc>
          <w:tcPr>
            <w:tcW w:w="1703" w:type="dxa"/>
          </w:tcPr>
          <w:p w14:paraId="36D853D4" w14:textId="77777777" w:rsidR="00CE1364" w:rsidRDefault="00CE1364">
            <w:pPr>
              <w:rPr>
                <w:rFonts w:asciiTheme="majorBidi" w:hAnsiTheme="majorBidi" w:cstheme="majorBidi"/>
                <w:sz w:val="20"/>
              </w:rPr>
            </w:pPr>
          </w:p>
        </w:tc>
      </w:tr>
      <w:tr w:rsidR="00CE1364" w14:paraId="6A197420" w14:textId="77777777" w:rsidTr="00E94DC8">
        <w:tc>
          <w:tcPr>
            <w:tcW w:w="2450" w:type="dxa"/>
          </w:tcPr>
          <w:p w14:paraId="47F7E245" w14:textId="3BA57674" w:rsidR="00CE1364" w:rsidRDefault="005430FB">
            <w:pPr>
              <w:pStyle w:val="P68B1DB1-ListParagraph16"/>
              <w:numPr>
                <w:ilvl w:val="0"/>
                <w:numId w:val="21"/>
              </w:numPr>
            </w:pPr>
            <w:r>
              <w:t>Unités (objets) d’observation</w:t>
            </w:r>
          </w:p>
        </w:tc>
        <w:tc>
          <w:tcPr>
            <w:tcW w:w="5197" w:type="dxa"/>
          </w:tcPr>
          <w:p w14:paraId="0BB053C0" w14:textId="6EE33F51" w:rsidR="00CE1364" w:rsidRDefault="005430FB">
            <w:pPr>
              <w:pStyle w:val="P68B1DB1-Normal18"/>
            </w:pPr>
            <w:r>
              <w:t xml:space="preserve">5. Légitimité/authenticité: </w:t>
            </w:r>
            <w:r w:rsidR="00A763B0">
              <w:t xml:space="preserve">unité  </w:t>
            </w:r>
            <w:r w:rsidR="00530C90">
              <w:t xml:space="preserve">sans clé (s) d’identification </w:t>
            </w:r>
            <w:r>
              <w:t>autorisée</w:t>
            </w:r>
            <w:r w:rsidR="00530C90">
              <w:t>(</w:t>
            </w:r>
            <w:r>
              <w:t>s</w:t>
            </w:r>
            <w:r w:rsidR="00530C90">
              <w:t>)</w:t>
            </w:r>
            <w:r>
              <w:t xml:space="preserve"> (mauvaise</w:t>
            </w:r>
            <w:r w:rsidR="00530C90">
              <w:t xml:space="preserve"> (</w:t>
            </w:r>
            <w:r>
              <w:t>s</w:t>
            </w:r>
            <w:r w:rsidR="00530C90">
              <w:t>)</w:t>
            </w:r>
            <w:r>
              <w:t xml:space="preserve"> ou invalides), le cas échéant, avec </w:t>
            </w:r>
            <w:r w:rsidR="00530C90">
              <w:t xml:space="preserve">un </w:t>
            </w:r>
            <w:r>
              <w:t xml:space="preserve">pourcentage calculé sur la base du nombre d’observations dans </w:t>
            </w:r>
            <w:r w:rsidR="00A763B0">
              <w:t xml:space="preserve">le jeu </w:t>
            </w:r>
            <w:r>
              <w:t>de données</w:t>
            </w:r>
          </w:p>
        </w:tc>
        <w:tc>
          <w:tcPr>
            <w:tcW w:w="1703" w:type="dxa"/>
          </w:tcPr>
          <w:p w14:paraId="0689A8B2" w14:textId="74E39FF5" w:rsidR="00CE1364" w:rsidRDefault="005430FB">
            <w:pPr>
              <w:pStyle w:val="P68B1DB1-Normal18"/>
            </w:pPr>
            <w:r>
              <w:t>Pourcentage</w:t>
            </w:r>
          </w:p>
        </w:tc>
      </w:tr>
      <w:tr w:rsidR="00CE1364" w14:paraId="13024B00" w14:textId="77777777" w:rsidTr="00E94DC8">
        <w:tc>
          <w:tcPr>
            <w:tcW w:w="2450" w:type="dxa"/>
          </w:tcPr>
          <w:p w14:paraId="6D88EA0E" w14:textId="77777777" w:rsidR="00CE1364" w:rsidRDefault="00CE1364">
            <w:pPr>
              <w:rPr>
                <w:rFonts w:asciiTheme="majorBidi" w:hAnsiTheme="majorBidi" w:cstheme="majorBidi"/>
                <w:sz w:val="20"/>
              </w:rPr>
            </w:pPr>
          </w:p>
        </w:tc>
        <w:tc>
          <w:tcPr>
            <w:tcW w:w="5197" w:type="dxa"/>
          </w:tcPr>
          <w:p w14:paraId="388813A5" w14:textId="01714665" w:rsidR="00CE1364" w:rsidRDefault="005430FB">
            <w:pPr>
              <w:pStyle w:val="P68B1DB1-Normal18"/>
            </w:pPr>
            <w:r>
              <w:t xml:space="preserve">6. Incohérence dans </w:t>
            </w:r>
            <w:r w:rsidR="00A763B0">
              <w:t xml:space="preserve">le jeu </w:t>
            </w:r>
            <w:r>
              <w:t>de</w:t>
            </w:r>
            <w:r w:rsidR="00A763B0">
              <w:t>s</w:t>
            </w:r>
            <w:r>
              <w:t xml:space="preserve"> données: Unités ayant des relations non logiques avec d’autres unités, le cas échéant, avec un pourcentage calculé en fonction du nombre d’observations dans </w:t>
            </w:r>
            <w:r w:rsidR="00F00633">
              <w:t>le jeu de données</w:t>
            </w:r>
            <w:r>
              <w:t xml:space="preserve"> (la correction est obligatoire avant de </w:t>
            </w:r>
            <w:r w:rsidR="00530C90">
              <w:t>poursuivre</w:t>
            </w:r>
            <w:r>
              <w:t>)</w:t>
            </w:r>
          </w:p>
        </w:tc>
        <w:tc>
          <w:tcPr>
            <w:tcW w:w="1703" w:type="dxa"/>
          </w:tcPr>
          <w:p w14:paraId="576684D2" w14:textId="5B7C78DB" w:rsidR="00CE1364" w:rsidRDefault="005430FB">
            <w:pPr>
              <w:pStyle w:val="P68B1DB1-Normal18"/>
            </w:pPr>
            <w:r>
              <w:t>Pourcentage</w:t>
            </w:r>
          </w:p>
        </w:tc>
      </w:tr>
      <w:tr w:rsidR="00CE1364" w14:paraId="2ADD85A0" w14:textId="77777777" w:rsidTr="00E94DC8">
        <w:tc>
          <w:tcPr>
            <w:tcW w:w="2450" w:type="dxa"/>
          </w:tcPr>
          <w:p w14:paraId="5A040941" w14:textId="77777777" w:rsidR="00CE1364" w:rsidRDefault="00CE1364">
            <w:pPr>
              <w:rPr>
                <w:rFonts w:asciiTheme="majorBidi" w:hAnsiTheme="majorBidi" w:cstheme="majorBidi"/>
                <w:sz w:val="20"/>
              </w:rPr>
            </w:pPr>
          </w:p>
        </w:tc>
        <w:tc>
          <w:tcPr>
            <w:tcW w:w="5197" w:type="dxa"/>
          </w:tcPr>
          <w:p w14:paraId="67E3DCAD" w14:textId="05584D99" w:rsidR="00CE1364" w:rsidRDefault="005430FB">
            <w:pPr>
              <w:pStyle w:val="P68B1DB1-Normal18"/>
            </w:pPr>
            <w:r>
              <w:t xml:space="preserve">7. </w:t>
            </w:r>
            <w:r w:rsidR="00A763B0">
              <w:t xml:space="preserve">Inconsistance </w:t>
            </w:r>
            <w:r>
              <w:t xml:space="preserve">dans </w:t>
            </w:r>
            <w:r w:rsidR="00A763B0">
              <w:t xml:space="preserve">le jeu </w:t>
            </w:r>
            <w:r>
              <w:t xml:space="preserve">de données: Unités ayant des relations </w:t>
            </w:r>
            <w:r w:rsidR="00530C90">
              <w:t xml:space="preserve">non plausibles </w:t>
            </w:r>
            <w:r>
              <w:t xml:space="preserve">ou suspectes avec d’autres unités, le cas échéant, avec un pourcentage calculé en fonction du nombre d’observations dans </w:t>
            </w:r>
            <w:r w:rsidR="00F00633">
              <w:t>le jeu de données</w:t>
            </w:r>
            <w:r>
              <w:t xml:space="preserve"> (la correction est facultative avant de </w:t>
            </w:r>
            <w:r w:rsidR="00530C90">
              <w:t>pou</w:t>
            </w:r>
            <w:r w:rsidR="00F361DA">
              <w:t>r</w:t>
            </w:r>
            <w:r w:rsidR="00530C90">
              <w:t>suivre</w:t>
            </w:r>
            <w:r>
              <w:t>)</w:t>
            </w:r>
          </w:p>
        </w:tc>
        <w:tc>
          <w:tcPr>
            <w:tcW w:w="1703" w:type="dxa"/>
          </w:tcPr>
          <w:p w14:paraId="2B95BF6D" w14:textId="51355754" w:rsidR="00CE1364" w:rsidRDefault="005430FB">
            <w:pPr>
              <w:pStyle w:val="P68B1DB1-Normal18"/>
            </w:pPr>
            <w:r>
              <w:t>Pourcentage</w:t>
            </w:r>
          </w:p>
        </w:tc>
      </w:tr>
      <w:tr w:rsidR="00CE1364" w14:paraId="14867D0D" w14:textId="77777777" w:rsidTr="00E94DC8">
        <w:tc>
          <w:tcPr>
            <w:tcW w:w="2450" w:type="dxa"/>
          </w:tcPr>
          <w:p w14:paraId="1394BFA2" w14:textId="6A55703B" w:rsidR="00CE1364" w:rsidRDefault="005430FB">
            <w:pPr>
              <w:pStyle w:val="P68B1DB1-ListParagraph19"/>
              <w:numPr>
                <w:ilvl w:val="0"/>
                <w:numId w:val="21"/>
              </w:numPr>
            </w:pPr>
            <w:r>
              <w:t>Variables</w:t>
            </w:r>
          </w:p>
        </w:tc>
        <w:tc>
          <w:tcPr>
            <w:tcW w:w="5197" w:type="dxa"/>
          </w:tcPr>
          <w:p w14:paraId="4C8861F9" w14:textId="44E60FE1" w:rsidR="00CE1364" w:rsidRDefault="005430FB">
            <w:pPr>
              <w:pStyle w:val="P68B1DB1-Normal18"/>
            </w:pPr>
            <w:r>
              <w:t xml:space="preserve">8. Erreur de mesure: Valeurs pour lesquelles une erreur de mesure est </w:t>
            </w:r>
            <w:r w:rsidR="00530C90">
              <w:t xml:space="preserve">indiquée </w:t>
            </w:r>
            <w:r>
              <w:t xml:space="preserve">par le fournisseur de données, le pourcentage </w:t>
            </w:r>
            <w:r w:rsidR="00F361DA">
              <w:t xml:space="preserve">étant </w:t>
            </w:r>
            <w:r>
              <w:t xml:space="preserve">calculé sur la base du nombre d’observations dans </w:t>
            </w:r>
            <w:r w:rsidR="00F00633">
              <w:t>le jeu de données</w:t>
            </w:r>
          </w:p>
        </w:tc>
        <w:tc>
          <w:tcPr>
            <w:tcW w:w="1703" w:type="dxa"/>
          </w:tcPr>
          <w:p w14:paraId="2723692C" w14:textId="06640F54" w:rsidR="00CE1364" w:rsidRDefault="005430FB">
            <w:pPr>
              <w:pStyle w:val="P68B1DB1-Normal18"/>
            </w:pPr>
            <w:r>
              <w:t>Pourcentage</w:t>
            </w:r>
          </w:p>
        </w:tc>
      </w:tr>
      <w:tr w:rsidR="00CE1364" w14:paraId="68F54C2B" w14:textId="77777777" w:rsidTr="00E94DC8">
        <w:tc>
          <w:tcPr>
            <w:tcW w:w="2450" w:type="dxa"/>
          </w:tcPr>
          <w:p w14:paraId="2CA2EF07" w14:textId="77777777" w:rsidR="00CE1364" w:rsidRDefault="00CE1364">
            <w:pPr>
              <w:rPr>
                <w:rFonts w:asciiTheme="majorBidi" w:hAnsiTheme="majorBidi" w:cstheme="majorBidi"/>
                <w:sz w:val="20"/>
              </w:rPr>
            </w:pPr>
          </w:p>
        </w:tc>
        <w:tc>
          <w:tcPr>
            <w:tcW w:w="5197" w:type="dxa"/>
          </w:tcPr>
          <w:p w14:paraId="01B8A288" w14:textId="653C7ADC" w:rsidR="00CE1364" w:rsidRDefault="005430FB">
            <w:pPr>
              <w:pStyle w:val="P68B1DB1-Normal18"/>
            </w:pPr>
            <w:r>
              <w:t>9. Valeurs incohérentes: Valeurs ayant une relation non logique avec d’autres informations pour l’unité d’observation ou en dehors de l</w:t>
            </w:r>
            <w:r w:rsidR="00F361DA">
              <w:t xml:space="preserve">’intervalle </w:t>
            </w:r>
            <w:r>
              <w:t xml:space="preserve">possible (erreurs), le pourcentage </w:t>
            </w:r>
            <w:r w:rsidR="00F361DA">
              <w:t xml:space="preserve">étant </w:t>
            </w:r>
            <w:r>
              <w:t xml:space="preserve">calculé sur la base du nombre d’observations dans </w:t>
            </w:r>
            <w:r w:rsidR="00F00633">
              <w:t>le jeu de données</w:t>
            </w:r>
            <w:r>
              <w:t xml:space="preserve"> (la correction est obligatoire avant de </w:t>
            </w:r>
            <w:r w:rsidR="00F361DA">
              <w:t>poursuivre</w:t>
            </w:r>
            <w:r>
              <w:t>)</w:t>
            </w:r>
          </w:p>
        </w:tc>
        <w:tc>
          <w:tcPr>
            <w:tcW w:w="1703" w:type="dxa"/>
          </w:tcPr>
          <w:p w14:paraId="233FFDB8" w14:textId="47ACCCE0" w:rsidR="00CE1364" w:rsidRDefault="005430FB">
            <w:pPr>
              <w:pStyle w:val="P68B1DB1-Normal18"/>
            </w:pPr>
            <w:r>
              <w:t>Pourcentage</w:t>
            </w:r>
          </w:p>
        </w:tc>
      </w:tr>
      <w:tr w:rsidR="00CE1364" w14:paraId="556345D6" w14:textId="77777777" w:rsidTr="00E94DC8">
        <w:tc>
          <w:tcPr>
            <w:tcW w:w="2450" w:type="dxa"/>
          </w:tcPr>
          <w:p w14:paraId="263201F5" w14:textId="77777777" w:rsidR="00CE1364" w:rsidRDefault="00CE1364">
            <w:pPr>
              <w:rPr>
                <w:rFonts w:asciiTheme="majorBidi" w:hAnsiTheme="majorBidi" w:cstheme="majorBidi"/>
                <w:sz w:val="20"/>
              </w:rPr>
            </w:pPr>
          </w:p>
        </w:tc>
        <w:tc>
          <w:tcPr>
            <w:tcW w:w="5197" w:type="dxa"/>
          </w:tcPr>
          <w:p w14:paraId="34FB4CC6" w14:textId="278840D3" w:rsidR="00CE1364" w:rsidRDefault="005430FB">
            <w:pPr>
              <w:pStyle w:val="P68B1DB1-Normal18"/>
            </w:pPr>
            <w:r>
              <w:t xml:space="preserve">10. Valeurs invraisemblables: Valeurs ayant des relations </w:t>
            </w:r>
            <w:r w:rsidR="00F361DA">
              <w:t xml:space="preserve">non plausible </w:t>
            </w:r>
            <w:r>
              <w:t xml:space="preserve">ou suspectes avec d’autres informations de l’unité d’observation ou en dehors de la </w:t>
            </w:r>
            <w:r w:rsidR="00F361DA">
              <w:t xml:space="preserve">fourchette </w:t>
            </w:r>
            <w:r>
              <w:t xml:space="preserve">prévue (valeurs aberrantes), avec un pourcentage calculé sur la base du nombre d’observations dans </w:t>
            </w:r>
            <w:r w:rsidR="00F00633">
              <w:t>le jeu de données</w:t>
            </w:r>
          </w:p>
          <w:p w14:paraId="6781E141" w14:textId="312BB652" w:rsidR="00CE1364" w:rsidRDefault="005430FB">
            <w:pPr>
              <w:pStyle w:val="P68B1DB1-Normal18"/>
            </w:pPr>
            <w:r>
              <w:t xml:space="preserve">(la correction est facultative avant de </w:t>
            </w:r>
            <w:r w:rsidR="00F361DA">
              <w:t>poursuivre</w:t>
            </w:r>
            <w:r>
              <w:t>)</w:t>
            </w:r>
          </w:p>
        </w:tc>
        <w:tc>
          <w:tcPr>
            <w:tcW w:w="1703" w:type="dxa"/>
          </w:tcPr>
          <w:p w14:paraId="7CAB5EDD" w14:textId="4B3C9287" w:rsidR="00CE1364" w:rsidRDefault="005430FB">
            <w:pPr>
              <w:pStyle w:val="P68B1DB1-Normal18"/>
            </w:pPr>
            <w:r>
              <w:t>Pourcentage</w:t>
            </w:r>
          </w:p>
        </w:tc>
      </w:tr>
      <w:tr w:rsidR="00CE1364" w14:paraId="063297A3" w14:textId="77777777" w:rsidTr="00E94DC8">
        <w:tc>
          <w:tcPr>
            <w:tcW w:w="2450" w:type="dxa"/>
          </w:tcPr>
          <w:p w14:paraId="47A8F8AB" w14:textId="471A236C" w:rsidR="00CE1364" w:rsidRDefault="005430FB">
            <w:pPr>
              <w:pStyle w:val="P68B1DB1-Normal20"/>
            </w:pPr>
            <w:r>
              <w:t>Exhaustivité/Représentativité</w:t>
            </w:r>
          </w:p>
        </w:tc>
        <w:tc>
          <w:tcPr>
            <w:tcW w:w="5197" w:type="dxa"/>
          </w:tcPr>
          <w:p w14:paraId="38589449" w14:textId="77777777" w:rsidR="00CE1364" w:rsidRDefault="00CE1364">
            <w:pPr>
              <w:rPr>
                <w:rFonts w:asciiTheme="majorBidi" w:hAnsiTheme="majorBidi" w:cstheme="majorBidi"/>
                <w:color w:val="000000" w:themeColor="text1"/>
                <w:sz w:val="20"/>
              </w:rPr>
            </w:pPr>
          </w:p>
        </w:tc>
        <w:tc>
          <w:tcPr>
            <w:tcW w:w="1703" w:type="dxa"/>
          </w:tcPr>
          <w:p w14:paraId="393D7808" w14:textId="77777777" w:rsidR="00CE1364" w:rsidRDefault="00CE1364">
            <w:pPr>
              <w:rPr>
                <w:rFonts w:asciiTheme="majorBidi" w:hAnsiTheme="majorBidi" w:cstheme="majorBidi"/>
                <w:color w:val="000000" w:themeColor="text1"/>
                <w:sz w:val="20"/>
              </w:rPr>
            </w:pPr>
          </w:p>
        </w:tc>
      </w:tr>
      <w:tr w:rsidR="00CE1364" w14:paraId="2729E4D4" w14:textId="77777777" w:rsidTr="00E94DC8">
        <w:tc>
          <w:tcPr>
            <w:tcW w:w="2450" w:type="dxa"/>
          </w:tcPr>
          <w:p w14:paraId="67626E0E" w14:textId="4A6A19CF" w:rsidR="00CE1364" w:rsidRDefault="005430FB">
            <w:pPr>
              <w:pStyle w:val="P68B1DB1-ListParagraph16"/>
              <w:numPr>
                <w:ilvl w:val="0"/>
                <w:numId w:val="21"/>
              </w:numPr>
            </w:pPr>
            <w:r>
              <w:t>Unités (objets) d’observation</w:t>
            </w:r>
          </w:p>
        </w:tc>
        <w:tc>
          <w:tcPr>
            <w:tcW w:w="5197" w:type="dxa"/>
          </w:tcPr>
          <w:p w14:paraId="46250134" w14:textId="74FE2F31" w:rsidR="00CE1364" w:rsidRDefault="005430FB">
            <w:pPr>
              <w:pStyle w:val="P68B1DB1-Normal18"/>
            </w:pPr>
            <w:r>
              <w:t xml:space="preserve">11. Unités manquantes: Unités non incluses, le pourcentage </w:t>
            </w:r>
            <w:r w:rsidR="00F361DA">
              <w:t xml:space="preserve">étant </w:t>
            </w:r>
            <w:r>
              <w:t>calculé sur la base du nombre d’observations dans la population cible</w:t>
            </w:r>
          </w:p>
        </w:tc>
        <w:tc>
          <w:tcPr>
            <w:tcW w:w="1703" w:type="dxa"/>
          </w:tcPr>
          <w:p w14:paraId="14AC0AE0" w14:textId="6DCE271F" w:rsidR="00CE1364" w:rsidRDefault="005430FB">
            <w:pPr>
              <w:pStyle w:val="P68B1DB1-Normal17"/>
              <w:rPr>
                <w:color w:val="000000" w:themeColor="text1"/>
              </w:rPr>
            </w:pPr>
            <w:r>
              <w:t>Pourcentage</w:t>
            </w:r>
          </w:p>
        </w:tc>
      </w:tr>
      <w:tr w:rsidR="00CE1364" w14:paraId="6AF9063C" w14:textId="77777777" w:rsidTr="00E94DC8">
        <w:tc>
          <w:tcPr>
            <w:tcW w:w="2450" w:type="dxa"/>
          </w:tcPr>
          <w:p w14:paraId="7AB4C5B5" w14:textId="77777777" w:rsidR="00CE1364" w:rsidRDefault="00CE1364">
            <w:pPr>
              <w:rPr>
                <w:rFonts w:asciiTheme="majorBidi" w:hAnsiTheme="majorBidi" w:cstheme="majorBidi"/>
                <w:sz w:val="20"/>
              </w:rPr>
            </w:pPr>
          </w:p>
        </w:tc>
        <w:tc>
          <w:tcPr>
            <w:tcW w:w="5197" w:type="dxa"/>
          </w:tcPr>
          <w:p w14:paraId="0411B65B" w14:textId="4CAE9AF9" w:rsidR="00CE1364" w:rsidRDefault="005430FB">
            <w:pPr>
              <w:pStyle w:val="P68B1DB1-Normal18"/>
            </w:pPr>
            <w:r>
              <w:t>12. Unités en dehors de la population cible: Unités n’</w:t>
            </w:r>
            <w:r w:rsidR="00F361DA">
              <w:t>appartenant</w:t>
            </w:r>
            <w:r>
              <w:t xml:space="preserve"> pas à la population cible avec le pourcentage calculé sur la base du nombre d’observations dans </w:t>
            </w:r>
            <w:r w:rsidR="00F00633">
              <w:t>le jeu de données</w:t>
            </w:r>
          </w:p>
        </w:tc>
        <w:tc>
          <w:tcPr>
            <w:tcW w:w="1703" w:type="dxa"/>
          </w:tcPr>
          <w:p w14:paraId="368D6F71" w14:textId="18BFC78D" w:rsidR="00CE1364" w:rsidRDefault="005430FB">
            <w:pPr>
              <w:pStyle w:val="P68B1DB1-Normal17"/>
              <w:rPr>
                <w:color w:val="000000" w:themeColor="text1"/>
              </w:rPr>
            </w:pPr>
            <w:r>
              <w:t>Pourcentage</w:t>
            </w:r>
          </w:p>
        </w:tc>
      </w:tr>
      <w:tr w:rsidR="00CE1364" w14:paraId="5D8808B8" w14:textId="77777777" w:rsidTr="00E94DC8">
        <w:tc>
          <w:tcPr>
            <w:tcW w:w="2450" w:type="dxa"/>
          </w:tcPr>
          <w:p w14:paraId="1DD148C3" w14:textId="77777777" w:rsidR="00CE1364" w:rsidRDefault="00CE1364">
            <w:pPr>
              <w:rPr>
                <w:rFonts w:asciiTheme="majorBidi" w:hAnsiTheme="majorBidi" w:cstheme="majorBidi"/>
                <w:sz w:val="20"/>
              </w:rPr>
            </w:pPr>
          </w:p>
        </w:tc>
        <w:tc>
          <w:tcPr>
            <w:tcW w:w="5197" w:type="dxa"/>
          </w:tcPr>
          <w:p w14:paraId="00E1319E" w14:textId="32F56350" w:rsidR="00CE1364" w:rsidRDefault="005430FB">
            <w:pPr>
              <w:pStyle w:val="P68B1DB1-Normal18"/>
            </w:pPr>
            <w:r>
              <w:t>13. Redondance/</w:t>
            </w:r>
            <w:r w:rsidR="00F00633">
              <w:t>doublons</w:t>
            </w:r>
            <w:r>
              <w:t xml:space="preserve">: Unités dupliquées </w:t>
            </w:r>
            <w:r w:rsidR="00F00633">
              <w:t>lorsqu’un doublon est observé</w:t>
            </w:r>
            <w:r>
              <w:t xml:space="preserve">, le pourcentage </w:t>
            </w:r>
            <w:r w:rsidR="00F361DA">
              <w:t xml:space="preserve">étant </w:t>
            </w:r>
            <w:r>
              <w:t xml:space="preserve">calculé sur la base du nombre d’observations dans </w:t>
            </w:r>
            <w:r w:rsidR="00F00633">
              <w:t>le jeu de données</w:t>
            </w:r>
          </w:p>
        </w:tc>
        <w:tc>
          <w:tcPr>
            <w:tcW w:w="1703" w:type="dxa"/>
          </w:tcPr>
          <w:p w14:paraId="5A392688" w14:textId="30120104" w:rsidR="00CE1364" w:rsidRDefault="005430FB">
            <w:pPr>
              <w:pStyle w:val="P68B1DB1-Normal17"/>
            </w:pPr>
            <w:r>
              <w:t>Pourcentage</w:t>
            </w:r>
          </w:p>
        </w:tc>
      </w:tr>
      <w:tr w:rsidR="00CE1364" w14:paraId="3509FCCE" w14:textId="77777777" w:rsidTr="00E94DC8">
        <w:tc>
          <w:tcPr>
            <w:tcW w:w="2450" w:type="dxa"/>
          </w:tcPr>
          <w:p w14:paraId="7122F7F6" w14:textId="77777777" w:rsidR="00CE1364" w:rsidRDefault="00CE1364">
            <w:pPr>
              <w:rPr>
                <w:rFonts w:asciiTheme="majorBidi" w:hAnsiTheme="majorBidi" w:cstheme="majorBidi"/>
                <w:sz w:val="20"/>
              </w:rPr>
            </w:pPr>
          </w:p>
        </w:tc>
        <w:tc>
          <w:tcPr>
            <w:tcW w:w="5197" w:type="dxa"/>
          </w:tcPr>
          <w:p w14:paraId="658F804A" w14:textId="56BAA732" w:rsidR="00CE1364" w:rsidRDefault="005430FB">
            <w:pPr>
              <w:pStyle w:val="P68B1DB1-Normal18"/>
            </w:pPr>
            <w:r>
              <w:t>14. Sélectivité/représentativité: Écarts (sur</w:t>
            </w:r>
            <w:r w:rsidR="00F361DA">
              <w:t>-couverture</w:t>
            </w:r>
            <w:r>
              <w:t xml:space="preserve"> </w:t>
            </w:r>
            <w:r w:rsidR="00F361DA">
              <w:t xml:space="preserve">ou </w:t>
            </w:r>
            <w:r>
              <w:t>sous</w:t>
            </w:r>
            <w:r w:rsidR="00F361DA">
              <w:t>-</w:t>
            </w:r>
            <w:r>
              <w:t xml:space="preserve">couverture) dans les caractéristiques pertinentes entre </w:t>
            </w:r>
            <w:r w:rsidR="00F00633">
              <w:t>le jeu de données</w:t>
            </w:r>
            <w:r>
              <w:t xml:space="preserve"> et la population cible, p</w:t>
            </w:r>
            <w:r w:rsidR="00F361DA">
              <w:t>ar</w:t>
            </w:r>
            <w:r>
              <w:t xml:space="preserve"> ex</w:t>
            </w:r>
            <w:r w:rsidR="00F361DA">
              <w:t>emple</w:t>
            </w:r>
            <w:r>
              <w:t xml:space="preserve"> le pourcentage de</w:t>
            </w:r>
            <w:r w:rsidR="00F361DA">
              <w:t>s</w:t>
            </w:r>
            <w:r>
              <w:t xml:space="preserve"> caractéristiques dans </w:t>
            </w:r>
            <w:r w:rsidR="00F00633">
              <w:t>le jeu de données</w:t>
            </w:r>
            <w:r>
              <w:t xml:space="preserve"> moins</w:t>
            </w:r>
            <w:r w:rsidR="00F361DA">
              <w:t xml:space="preserve"> le</w:t>
            </w:r>
            <w:r>
              <w:t xml:space="preserve"> pourcentage dans la population cible</w:t>
            </w:r>
          </w:p>
        </w:tc>
        <w:tc>
          <w:tcPr>
            <w:tcW w:w="1703" w:type="dxa"/>
          </w:tcPr>
          <w:p w14:paraId="4D3994B0" w14:textId="6816644D" w:rsidR="00CE1364" w:rsidRDefault="005430FB">
            <w:pPr>
              <w:pStyle w:val="P68B1DB1-Normal17"/>
              <w:rPr>
                <w:color w:val="000000" w:themeColor="text1"/>
              </w:rPr>
            </w:pPr>
            <w:r>
              <w:t>Pourcentage</w:t>
            </w:r>
          </w:p>
        </w:tc>
      </w:tr>
      <w:tr w:rsidR="00CE1364" w14:paraId="029034B0" w14:textId="77777777" w:rsidTr="00E94DC8">
        <w:tc>
          <w:tcPr>
            <w:tcW w:w="2450" w:type="dxa"/>
          </w:tcPr>
          <w:p w14:paraId="6CB55E30" w14:textId="03D1C1D0" w:rsidR="00CE1364" w:rsidRDefault="005430FB">
            <w:pPr>
              <w:pStyle w:val="P68B1DB1-ListParagraph16"/>
              <w:numPr>
                <w:ilvl w:val="0"/>
                <w:numId w:val="21"/>
              </w:numPr>
            </w:pPr>
            <w:r>
              <w:t>Variables</w:t>
            </w:r>
          </w:p>
        </w:tc>
        <w:tc>
          <w:tcPr>
            <w:tcW w:w="5197" w:type="dxa"/>
          </w:tcPr>
          <w:p w14:paraId="04EB395F" w14:textId="51AD09F8" w:rsidR="00CE1364" w:rsidRDefault="005430FB">
            <w:pPr>
              <w:pStyle w:val="P68B1DB1-Normal18"/>
            </w:pPr>
            <w:r>
              <w:t xml:space="preserve">15. Valeurs manquantes, le pourcentage étant calculé sur la base du nombre d’observations dans </w:t>
            </w:r>
            <w:r w:rsidR="00F00633">
              <w:t>le jeu de données</w:t>
            </w:r>
          </w:p>
        </w:tc>
        <w:tc>
          <w:tcPr>
            <w:tcW w:w="1703" w:type="dxa"/>
          </w:tcPr>
          <w:p w14:paraId="4F04B492" w14:textId="0E87E97B" w:rsidR="00CE1364" w:rsidRDefault="005430FB">
            <w:pPr>
              <w:pStyle w:val="P68B1DB1-Normal17"/>
              <w:rPr>
                <w:color w:val="000000" w:themeColor="text1"/>
              </w:rPr>
            </w:pPr>
            <w:r>
              <w:t>Pourcentage</w:t>
            </w:r>
          </w:p>
        </w:tc>
      </w:tr>
      <w:tr w:rsidR="00CE1364" w14:paraId="4F1ED323" w14:textId="77777777" w:rsidTr="00E94DC8">
        <w:tc>
          <w:tcPr>
            <w:tcW w:w="2450" w:type="dxa"/>
          </w:tcPr>
          <w:p w14:paraId="255433F0" w14:textId="77777777" w:rsidR="00CE1364" w:rsidRDefault="00CE1364">
            <w:pPr>
              <w:rPr>
                <w:rFonts w:asciiTheme="majorBidi" w:hAnsiTheme="majorBidi" w:cstheme="majorBidi"/>
                <w:sz w:val="20"/>
              </w:rPr>
            </w:pPr>
          </w:p>
        </w:tc>
        <w:tc>
          <w:tcPr>
            <w:tcW w:w="5197" w:type="dxa"/>
          </w:tcPr>
          <w:p w14:paraId="2A593B68" w14:textId="517335A0" w:rsidR="00CE1364" w:rsidRDefault="005430FB">
            <w:pPr>
              <w:pStyle w:val="P68B1DB1-Normal18"/>
            </w:pPr>
            <w:r>
              <w:t xml:space="preserve">16. Valeurs imputées: Valeurs pour lesquelles une valeur imputée est </w:t>
            </w:r>
            <w:r w:rsidR="00F361DA">
              <w:t xml:space="preserve">indiquée </w:t>
            </w:r>
            <w:r>
              <w:t xml:space="preserve">par le fournisseur de données, le pourcentage </w:t>
            </w:r>
            <w:r w:rsidR="00F361DA">
              <w:t xml:space="preserve">étant </w:t>
            </w:r>
            <w:r>
              <w:t xml:space="preserve">calculé sur la base du nombre d’observations dans </w:t>
            </w:r>
            <w:r w:rsidR="00F00633">
              <w:t>le jeu de données</w:t>
            </w:r>
          </w:p>
        </w:tc>
        <w:tc>
          <w:tcPr>
            <w:tcW w:w="1703" w:type="dxa"/>
          </w:tcPr>
          <w:p w14:paraId="3C48C79E" w14:textId="00E81759" w:rsidR="00CE1364" w:rsidRDefault="005430FB">
            <w:pPr>
              <w:pStyle w:val="P68B1DB1-Normal17"/>
              <w:rPr>
                <w:color w:val="000000" w:themeColor="text1"/>
              </w:rPr>
            </w:pPr>
            <w:r>
              <w:t>Pourcentage</w:t>
            </w:r>
          </w:p>
        </w:tc>
      </w:tr>
      <w:tr w:rsidR="00CE1364" w14:paraId="4C818222" w14:textId="77777777" w:rsidTr="00E94DC8">
        <w:tc>
          <w:tcPr>
            <w:tcW w:w="2450" w:type="dxa"/>
          </w:tcPr>
          <w:p w14:paraId="0CC175E0" w14:textId="7E1D9B02" w:rsidR="00CE1364" w:rsidRDefault="005430FB">
            <w:pPr>
              <w:pStyle w:val="P68B1DB1-Normal15"/>
            </w:pPr>
            <w:r>
              <w:t xml:space="preserve">Dimension </w:t>
            </w:r>
            <w:r w:rsidR="007D44F2">
              <w:t>temporelle</w:t>
            </w:r>
          </w:p>
        </w:tc>
        <w:tc>
          <w:tcPr>
            <w:tcW w:w="5197" w:type="dxa"/>
          </w:tcPr>
          <w:p w14:paraId="74D3D01D" w14:textId="77777777" w:rsidR="00CE1364" w:rsidRDefault="00CE1364">
            <w:pPr>
              <w:rPr>
                <w:rFonts w:asciiTheme="majorBidi" w:hAnsiTheme="majorBidi" w:cstheme="majorBidi"/>
                <w:color w:val="000000" w:themeColor="text1"/>
                <w:sz w:val="20"/>
              </w:rPr>
            </w:pPr>
          </w:p>
        </w:tc>
        <w:tc>
          <w:tcPr>
            <w:tcW w:w="1703" w:type="dxa"/>
          </w:tcPr>
          <w:p w14:paraId="7CE3DC25" w14:textId="77777777" w:rsidR="00CE1364" w:rsidRDefault="00CE1364">
            <w:pPr>
              <w:rPr>
                <w:rFonts w:asciiTheme="majorBidi" w:hAnsiTheme="majorBidi" w:cstheme="majorBidi"/>
                <w:color w:val="000000" w:themeColor="text1"/>
                <w:sz w:val="20"/>
              </w:rPr>
            </w:pPr>
          </w:p>
        </w:tc>
      </w:tr>
      <w:tr w:rsidR="00CE1364" w14:paraId="5BA23A54" w14:textId="77777777" w:rsidTr="00E94DC8">
        <w:tc>
          <w:tcPr>
            <w:tcW w:w="2450" w:type="dxa"/>
          </w:tcPr>
          <w:p w14:paraId="0F8C7745" w14:textId="50D0921D" w:rsidR="00CE1364" w:rsidRDefault="00437412">
            <w:pPr>
              <w:pStyle w:val="P68B1DB1-ListParagraph16"/>
              <w:numPr>
                <w:ilvl w:val="0"/>
                <w:numId w:val="21"/>
              </w:numPr>
            </w:pPr>
            <w:r>
              <w:t xml:space="preserve">Jeu </w:t>
            </w:r>
            <w:r w:rsidR="005430FB">
              <w:t>de données</w:t>
            </w:r>
          </w:p>
        </w:tc>
        <w:tc>
          <w:tcPr>
            <w:tcW w:w="5197" w:type="dxa"/>
          </w:tcPr>
          <w:p w14:paraId="1AC85308" w14:textId="14ADB888" w:rsidR="00CE1364" w:rsidRDefault="005430FB">
            <w:pPr>
              <w:pStyle w:val="P68B1DB1-Normal18"/>
            </w:pPr>
            <w:r>
              <w:t>17. Actualité: Date de réception — Date de fin de la période de référence</w:t>
            </w:r>
          </w:p>
        </w:tc>
        <w:tc>
          <w:tcPr>
            <w:tcW w:w="1703" w:type="dxa"/>
          </w:tcPr>
          <w:p w14:paraId="12261FE4" w14:textId="478676C7" w:rsidR="00CE1364" w:rsidRDefault="005430FB">
            <w:pPr>
              <w:pStyle w:val="P68B1DB1-Normal18"/>
            </w:pPr>
            <w:r>
              <w:t>Jours</w:t>
            </w:r>
          </w:p>
        </w:tc>
      </w:tr>
      <w:tr w:rsidR="00CE1364" w14:paraId="009B4E5D" w14:textId="77777777" w:rsidTr="00E94DC8">
        <w:tc>
          <w:tcPr>
            <w:tcW w:w="2450" w:type="dxa"/>
          </w:tcPr>
          <w:p w14:paraId="71B3BE7D" w14:textId="77777777" w:rsidR="00CE1364" w:rsidRDefault="00CE1364">
            <w:pPr>
              <w:rPr>
                <w:rFonts w:asciiTheme="majorBidi" w:hAnsiTheme="majorBidi" w:cstheme="majorBidi"/>
                <w:sz w:val="20"/>
              </w:rPr>
            </w:pPr>
          </w:p>
        </w:tc>
        <w:tc>
          <w:tcPr>
            <w:tcW w:w="5197" w:type="dxa"/>
          </w:tcPr>
          <w:p w14:paraId="179FC6DC" w14:textId="5B478110" w:rsidR="00CE1364" w:rsidRDefault="005430FB">
            <w:pPr>
              <w:pStyle w:val="P68B1DB1-Normal18"/>
            </w:pPr>
            <w:r>
              <w:t>18. Délai moyen d’inscription: Date d’enregistrement des données administratives — Date de fin de la période de référence</w:t>
            </w:r>
          </w:p>
        </w:tc>
        <w:tc>
          <w:tcPr>
            <w:tcW w:w="1703" w:type="dxa"/>
          </w:tcPr>
          <w:p w14:paraId="679CACBA" w14:textId="15E12858" w:rsidR="00CE1364" w:rsidRDefault="005430FB">
            <w:pPr>
              <w:pStyle w:val="P68B1DB1-Normal18"/>
            </w:pPr>
            <w:r>
              <w:t>Jours</w:t>
            </w:r>
          </w:p>
        </w:tc>
      </w:tr>
      <w:tr w:rsidR="00CE1364" w14:paraId="6B2B9CF1" w14:textId="77777777" w:rsidTr="00E94DC8">
        <w:tc>
          <w:tcPr>
            <w:tcW w:w="2450" w:type="dxa"/>
          </w:tcPr>
          <w:p w14:paraId="6C181A82" w14:textId="77777777" w:rsidR="00CE1364" w:rsidRDefault="00CE1364">
            <w:pPr>
              <w:rPr>
                <w:rFonts w:asciiTheme="majorBidi" w:hAnsiTheme="majorBidi" w:cstheme="majorBidi"/>
                <w:sz w:val="20"/>
              </w:rPr>
            </w:pPr>
          </w:p>
        </w:tc>
        <w:tc>
          <w:tcPr>
            <w:tcW w:w="5197" w:type="dxa"/>
          </w:tcPr>
          <w:p w14:paraId="73BDD453" w14:textId="1B0C28CB" w:rsidR="00CE1364" w:rsidRDefault="005430FB">
            <w:pPr>
              <w:pStyle w:val="P68B1DB1-Normal18"/>
            </w:pPr>
            <w:r>
              <w:t>19. Ponctualité: Date de réception — Date de livraison convenue</w:t>
            </w:r>
          </w:p>
        </w:tc>
        <w:tc>
          <w:tcPr>
            <w:tcW w:w="1703" w:type="dxa"/>
          </w:tcPr>
          <w:p w14:paraId="548771F5" w14:textId="79D566CC" w:rsidR="00CE1364" w:rsidRDefault="005430FB">
            <w:pPr>
              <w:pStyle w:val="P68B1DB1-Normal18"/>
            </w:pPr>
            <w:r>
              <w:t>Jours</w:t>
            </w:r>
          </w:p>
        </w:tc>
      </w:tr>
      <w:tr w:rsidR="00CE1364" w14:paraId="01CE4A87" w14:textId="77777777" w:rsidTr="00E94DC8">
        <w:tc>
          <w:tcPr>
            <w:tcW w:w="2450" w:type="dxa"/>
          </w:tcPr>
          <w:p w14:paraId="3217BBE4" w14:textId="6BFAF8B8" w:rsidR="00CE1364" w:rsidRDefault="005430FB">
            <w:pPr>
              <w:pStyle w:val="P68B1DB1-ListParagraph16"/>
              <w:numPr>
                <w:ilvl w:val="0"/>
                <w:numId w:val="21"/>
              </w:numPr>
            </w:pPr>
            <w:r>
              <w:t>Unités (objets) d’observation</w:t>
            </w:r>
          </w:p>
        </w:tc>
        <w:tc>
          <w:tcPr>
            <w:tcW w:w="5197" w:type="dxa"/>
          </w:tcPr>
          <w:p w14:paraId="538FF158" w14:textId="14679BBE" w:rsidR="00CE1364" w:rsidRDefault="005430FB">
            <w:pPr>
              <w:pStyle w:val="P68B1DB1-Normal18"/>
            </w:pPr>
            <w:r>
              <w:t xml:space="preserve">20. Dynamique: Nouvelles unités dans </w:t>
            </w:r>
            <w:r w:rsidR="00F00633">
              <w:t>le jeu de données</w:t>
            </w:r>
            <w:r>
              <w:t xml:space="preserve">, </w:t>
            </w:r>
            <w:r w:rsidR="007D44F2">
              <w:t xml:space="preserve">anciennes </w:t>
            </w:r>
            <w:r>
              <w:t xml:space="preserve">unités qui n’existent plus dans </w:t>
            </w:r>
            <w:r w:rsidR="00F00633">
              <w:t xml:space="preserve">le jeu de </w:t>
            </w:r>
            <w:r w:rsidR="00F00633">
              <w:lastRenderedPageBreak/>
              <w:t>données</w:t>
            </w:r>
            <w:r>
              <w:t xml:space="preserve">, les pourcentages </w:t>
            </w:r>
            <w:r w:rsidR="007D44F2">
              <w:t xml:space="preserve">étant </w:t>
            </w:r>
            <w:r>
              <w:t xml:space="preserve">calculés en fonction du nombre d’observations dans </w:t>
            </w:r>
            <w:r w:rsidR="00F00633">
              <w:t>le jeu de données</w:t>
            </w:r>
          </w:p>
        </w:tc>
        <w:tc>
          <w:tcPr>
            <w:tcW w:w="1703" w:type="dxa"/>
          </w:tcPr>
          <w:p w14:paraId="542A9CCD" w14:textId="65CE9366" w:rsidR="00CE1364" w:rsidRDefault="005430FB">
            <w:pPr>
              <w:pStyle w:val="P68B1DB1-Normal17"/>
              <w:rPr>
                <w:color w:val="000000" w:themeColor="text1"/>
              </w:rPr>
            </w:pPr>
            <w:r>
              <w:lastRenderedPageBreak/>
              <w:t>Pourcentage</w:t>
            </w:r>
          </w:p>
        </w:tc>
      </w:tr>
      <w:tr w:rsidR="00CE1364" w14:paraId="5AF35AB7" w14:textId="77777777" w:rsidTr="00E94DC8">
        <w:tc>
          <w:tcPr>
            <w:tcW w:w="2450" w:type="dxa"/>
          </w:tcPr>
          <w:p w14:paraId="42A2F774" w14:textId="70E664CB" w:rsidR="00CE1364" w:rsidRDefault="005430FB">
            <w:pPr>
              <w:pStyle w:val="P68B1DB1-ListParagraph16"/>
              <w:numPr>
                <w:ilvl w:val="0"/>
                <w:numId w:val="21"/>
              </w:numPr>
            </w:pPr>
            <w:r>
              <w:t>Variables</w:t>
            </w:r>
          </w:p>
        </w:tc>
        <w:tc>
          <w:tcPr>
            <w:tcW w:w="5197" w:type="dxa"/>
          </w:tcPr>
          <w:p w14:paraId="00FBFB41" w14:textId="4221CAC4" w:rsidR="00CE1364" w:rsidRDefault="005430FB">
            <w:pPr>
              <w:pStyle w:val="P68B1DB1-Normal18"/>
            </w:pPr>
            <w:r>
              <w:t xml:space="preserve">21. Stabilité: Modification des valeurs des variables des unités existantes au fil du temps </w:t>
            </w:r>
          </w:p>
        </w:tc>
        <w:tc>
          <w:tcPr>
            <w:tcW w:w="1703" w:type="dxa"/>
          </w:tcPr>
          <w:p w14:paraId="5DE2A57B" w14:textId="40F9A5EB" w:rsidR="00CE1364" w:rsidRDefault="005430FB">
            <w:pPr>
              <w:pStyle w:val="P68B1DB1-Normal18"/>
            </w:pPr>
            <w:r>
              <w:t>Pourcentage</w:t>
            </w:r>
          </w:p>
        </w:tc>
      </w:tr>
      <w:tr w:rsidR="00CE1364" w14:paraId="7971BDDA" w14:textId="77777777" w:rsidTr="00E94DC8">
        <w:tc>
          <w:tcPr>
            <w:tcW w:w="2450" w:type="dxa"/>
          </w:tcPr>
          <w:p w14:paraId="31BBCE96" w14:textId="445EF77F" w:rsidR="00CE1364" w:rsidRDefault="005430FB">
            <w:pPr>
              <w:pStyle w:val="P68B1DB1-Normal15"/>
            </w:pPr>
            <w:r>
              <w:t>Li</w:t>
            </w:r>
            <w:r w:rsidR="007D44F2">
              <w:t>aison</w:t>
            </w:r>
            <w:r>
              <w:t>/intégrabilité</w:t>
            </w:r>
          </w:p>
        </w:tc>
        <w:tc>
          <w:tcPr>
            <w:tcW w:w="5197" w:type="dxa"/>
          </w:tcPr>
          <w:p w14:paraId="0CF11D26" w14:textId="77777777" w:rsidR="00CE1364" w:rsidRDefault="00CE1364">
            <w:pPr>
              <w:rPr>
                <w:rFonts w:asciiTheme="majorBidi" w:hAnsiTheme="majorBidi" w:cstheme="majorBidi"/>
                <w:color w:val="000000" w:themeColor="text1"/>
                <w:sz w:val="20"/>
              </w:rPr>
            </w:pPr>
          </w:p>
        </w:tc>
        <w:tc>
          <w:tcPr>
            <w:tcW w:w="1703" w:type="dxa"/>
          </w:tcPr>
          <w:p w14:paraId="18F7E751" w14:textId="77777777" w:rsidR="00CE1364" w:rsidRDefault="00CE1364">
            <w:pPr>
              <w:rPr>
                <w:rFonts w:asciiTheme="majorBidi" w:hAnsiTheme="majorBidi" w:cstheme="majorBidi"/>
                <w:color w:val="000000" w:themeColor="text1"/>
                <w:sz w:val="20"/>
              </w:rPr>
            </w:pPr>
          </w:p>
        </w:tc>
      </w:tr>
      <w:tr w:rsidR="00CE1364" w14:paraId="084CE483" w14:textId="77777777" w:rsidTr="00E94DC8">
        <w:tc>
          <w:tcPr>
            <w:tcW w:w="2450" w:type="dxa"/>
          </w:tcPr>
          <w:p w14:paraId="7DAA1F5C" w14:textId="62E7645D" w:rsidR="00CE1364" w:rsidRDefault="005430FB">
            <w:pPr>
              <w:pStyle w:val="P68B1DB1-ListParagraph16"/>
              <w:numPr>
                <w:ilvl w:val="0"/>
                <w:numId w:val="21"/>
              </w:numPr>
            </w:pPr>
            <w:r>
              <w:t>Ensemble de données</w:t>
            </w:r>
          </w:p>
        </w:tc>
        <w:tc>
          <w:tcPr>
            <w:tcW w:w="5197" w:type="dxa"/>
          </w:tcPr>
          <w:p w14:paraId="0281FEEB" w14:textId="1AA86DD6" w:rsidR="00CE1364" w:rsidRDefault="005430FB">
            <w:pPr>
              <w:pStyle w:val="P68B1DB1-Normal18"/>
            </w:pPr>
            <w:r>
              <w:t>22. Couplage: Unités p</w:t>
            </w:r>
            <w:r w:rsidR="007D44F2">
              <w:t>o</w:t>
            </w:r>
            <w:r>
              <w:t>uv</w:t>
            </w:r>
            <w:r w:rsidR="007D44F2">
              <w:t>a</w:t>
            </w:r>
            <w:r>
              <w:t xml:space="preserve">nt être clairement liées aux unités du registre ou à d’autres </w:t>
            </w:r>
            <w:r w:rsidR="00F00633">
              <w:t xml:space="preserve">jeux </w:t>
            </w:r>
            <w:r>
              <w:t xml:space="preserve">de données (par exemple, par l’intermédiaire d’une variable ou d’un identifiant unique), le pourcentage </w:t>
            </w:r>
            <w:r w:rsidR="007D44F2">
              <w:t xml:space="preserve">étant </w:t>
            </w:r>
            <w:r>
              <w:t xml:space="preserve">calculé en fonction du nombre d’observations dans </w:t>
            </w:r>
            <w:r w:rsidR="00F00633">
              <w:t>le jeu de données</w:t>
            </w:r>
          </w:p>
        </w:tc>
        <w:tc>
          <w:tcPr>
            <w:tcW w:w="1703" w:type="dxa"/>
          </w:tcPr>
          <w:p w14:paraId="501D1F76" w14:textId="53BEFF61" w:rsidR="00CE1364" w:rsidRDefault="005430FB">
            <w:pPr>
              <w:pStyle w:val="P68B1DB1-Normal18"/>
            </w:pPr>
            <w:r>
              <w:t>Pourcentage</w:t>
            </w:r>
          </w:p>
        </w:tc>
      </w:tr>
      <w:tr w:rsidR="00CE1364" w14:paraId="5D535759" w14:textId="77777777" w:rsidTr="00E94DC8">
        <w:tc>
          <w:tcPr>
            <w:tcW w:w="2450" w:type="dxa"/>
          </w:tcPr>
          <w:p w14:paraId="6EBF43C0" w14:textId="77777777" w:rsidR="00CE1364" w:rsidRDefault="005430FB">
            <w:pPr>
              <w:pStyle w:val="P68B1DB1-ListParagraph16"/>
              <w:numPr>
                <w:ilvl w:val="0"/>
                <w:numId w:val="21"/>
              </w:numPr>
            </w:pPr>
            <w:r>
              <w:t>Unités (objets) d’observation</w:t>
            </w:r>
          </w:p>
        </w:tc>
        <w:tc>
          <w:tcPr>
            <w:tcW w:w="5197" w:type="dxa"/>
          </w:tcPr>
          <w:p w14:paraId="3A96FE02" w14:textId="4E53CA65" w:rsidR="00CE1364" w:rsidRDefault="005430FB">
            <w:pPr>
              <w:pStyle w:val="P68B1DB1-Normal18"/>
            </w:pPr>
            <w:r>
              <w:t xml:space="preserve">23. Comparabilité des unités </w:t>
            </w:r>
            <w:r w:rsidR="007D44F2">
              <w:t>dans la</w:t>
            </w:r>
            <w:r>
              <w:t xml:space="preserve"> source: Unités </w:t>
            </w:r>
            <w:r w:rsidR="007D44F2">
              <w:t xml:space="preserve">ayant </w:t>
            </w:r>
            <w:r>
              <w:t>la définition d</w:t>
            </w:r>
            <w:r w:rsidR="00F00633">
              <w:t>u</w:t>
            </w:r>
            <w:r>
              <w:t xml:space="preserve"> concept souhaitée, le pourcentage </w:t>
            </w:r>
            <w:r w:rsidR="007D44F2">
              <w:t xml:space="preserve">étant </w:t>
            </w:r>
            <w:r>
              <w:t xml:space="preserve">calculé sur la base du nombre d’observations dans </w:t>
            </w:r>
            <w:r w:rsidR="00F00633">
              <w:t>le jeu de données</w:t>
            </w:r>
          </w:p>
        </w:tc>
        <w:tc>
          <w:tcPr>
            <w:tcW w:w="1703" w:type="dxa"/>
          </w:tcPr>
          <w:p w14:paraId="4D9B63E0" w14:textId="77777777" w:rsidR="00CE1364" w:rsidRDefault="005430FB">
            <w:pPr>
              <w:pStyle w:val="P68B1DB1-Normal18"/>
            </w:pPr>
            <w:r>
              <w:t>Pourcentage</w:t>
            </w:r>
          </w:p>
        </w:tc>
      </w:tr>
      <w:tr w:rsidR="00CE1364" w14:paraId="39C0C34B" w14:textId="77777777" w:rsidTr="00E94DC8">
        <w:tc>
          <w:tcPr>
            <w:tcW w:w="2450" w:type="dxa"/>
          </w:tcPr>
          <w:p w14:paraId="1C9715DB" w14:textId="75340F0A" w:rsidR="00CE1364" w:rsidRDefault="005430FB">
            <w:pPr>
              <w:pStyle w:val="P68B1DB1-ListParagraph16"/>
              <w:numPr>
                <w:ilvl w:val="0"/>
                <w:numId w:val="21"/>
              </w:numPr>
            </w:pPr>
            <w:r>
              <w:t>Variables</w:t>
            </w:r>
          </w:p>
        </w:tc>
        <w:tc>
          <w:tcPr>
            <w:tcW w:w="5197" w:type="dxa"/>
          </w:tcPr>
          <w:p w14:paraId="6B2E3FE2" w14:textId="5545BB7A" w:rsidR="00CE1364" w:rsidRDefault="005430FB">
            <w:pPr>
              <w:pStyle w:val="P68B1DB1-Normal18"/>
            </w:pPr>
            <w:r>
              <w:t>24. Comparabilité des valeurs: Différences dans la valeur des variables des unités liées</w:t>
            </w:r>
          </w:p>
        </w:tc>
        <w:tc>
          <w:tcPr>
            <w:tcW w:w="1703" w:type="dxa"/>
          </w:tcPr>
          <w:p w14:paraId="6855AC52" w14:textId="7F886066" w:rsidR="00CE1364" w:rsidRDefault="005430FB">
            <w:pPr>
              <w:pStyle w:val="P68B1DB1-Normal18"/>
            </w:pPr>
            <w:r>
              <w:t>Pourcentage</w:t>
            </w:r>
          </w:p>
        </w:tc>
      </w:tr>
    </w:tbl>
    <w:p w14:paraId="3550FAE5" w14:textId="1A098500" w:rsidR="00CE1364" w:rsidRDefault="007D44F2">
      <w:pPr>
        <w:pStyle w:val="P68B1DB1-Normal21"/>
        <w:spacing w:after="0" w:line="240" w:lineRule="auto"/>
      </w:pPr>
      <w:r>
        <w:br w:type="textWrapping" w:clear="all"/>
      </w:r>
      <w:r w:rsidR="005430FB">
        <w:t xml:space="preserve">* Adapté de Daas P, Ossen S., BLUE-ETS (2011): </w:t>
      </w:r>
      <w:r w:rsidR="007264DC">
        <w:t>L</w:t>
      </w:r>
      <w:r w:rsidR="005430FB">
        <w:t xml:space="preserve">ivrable 4.2: Rapport sur les méthodes </w:t>
      </w:r>
      <w:r w:rsidR="007264DC">
        <w:t xml:space="preserve">préférées </w:t>
      </w:r>
      <w:r w:rsidR="005430FB">
        <w:t>pour les indicateurs de qualité des sources de données administratives. Disponible à l’adresse suivante: http://www.pietdaas.nl/beta/pubs/pubs/BLUE-ETS_WP4_Del2.pdf.</w:t>
      </w:r>
    </w:p>
    <w:p w14:paraId="4E3940C2" w14:textId="77777777" w:rsidR="00CE1364" w:rsidRDefault="00CE1364">
      <w:pPr>
        <w:spacing w:after="0" w:line="240" w:lineRule="auto"/>
        <w:rPr>
          <w:rFonts w:ascii="Times New Roman" w:hAnsi="Times New Roman" w:cs="Times New Roman"/>
          <w:color w:val="000000" w:themeColor="text1"/>
        </w:rPr>
      </w:pPr>
    </w:p>
    <w:p w14:paraId="192E4250" w14:textId="7BD79934" w:rsidR="00CE1364" w:rsidRDefault="005430FB">
      <w:pPr>
        <w:pStyle w:val="P68B1DB1-Normal22"/>
        <w:spacing w:after="0" w:line="240" w:lineRule="auto"/>
      </w:pPr>
      <w:r>
        <w:t xml:space="preserve">La plupart des pratiques </w:t>
      </w:r>
      <w:r w:rsidR="007264DC">
        <w:t xml:space="preserve">suggérées </w:t>
      </w:r>
      <w:r>
        <w:t>(«meilleures») dans la liste de contrôle de</w:t>
      </w:r>
      <w:r w:rsidR="007264DC">
        <w:t>s</w:t>
      </w:r>
      <w:r>
        <w:t xml:space="preserve"> dix exigences </w:t>
      </w:r>
      <w:r w:rsidR="007264DC">
        <w:t xml:space="preserve">essentielles </w:t>
      </w:r>
      <w:r>
        <w:t xml:space="preserve">sont formulées de manière à permettre une réponse oui/non/partiellement et peuvent donc servir d’indicateurs de qualité ou de liste de contrôle des indicateurs de qualité. </w:t>
      </w:r>
      <w:r>
        <w:rPr>
          <w:b/>
        </w:rPr>
        <w:t>Le tableau 2</w:t>
      </w:r>
      <w:r>
        <w:t xml:space="preserve"> fournit une liste indicative d’exemples d’indicateurs supplémentaires tirés principalement d’une liste d’indicateurs de qualité élaborés pour le modèle </w:t>
      </w:r>
      <w:r w:rsidR="007264DC">
        <w:t xml:space="preserve">générique </w:t>
      </w:r>
      <w:r>
        <w:t>d</w:t>
      </w:r>
      <w:r w:rsidR="007264DC">
        <w:t>u</w:t>
      </w:r>
      <w:r>
        <w:t xml:space="preserve"> processus </w:t>
      </w:r>
      <w:r w:rsidR="007264DC">
        <w:t xml:space="preserve">de production </w:t>
      </w:r>
      <w:r>
        <w:t>statistique (GSBPM). De nombreux indicateurs du tableau 2 se chevauchent avec les pratiques suggérées («meilleures») dans la liste de contrôle de</w:t>
      </w:r>
      <w:r w:rsidR="007264DC">
        <w:t>s</w:t>
      </w:r>
      <w:r>
        <w:t xml:space="preserve"> dix exigences critiques. Des travaux supplémentaires sont nécessaires pour </w:t>
      </w:r>
      <w:r w:rsidR="007264DC">
        <w:t>élaborer</w:t>
      </w:r>
      <w:r>
        <w:t xml:space="preserve"> une liste de contrôle consolidée des indicateurs pour évaluer l’état d’avancement de la mise en œuvre des dix exigences essentielles. </w:t>
      </w:r>
    </w:p>
    <w:p w14:paraId="0941BAAE" w14:textId="77777777" w:rsidR="00CE1364" w:rsidRDefault="00CE1364">
      <w:pPr>
        <w:spacing w:after="0" w:line="240" w:lineRule="auto"/>
        <w:rPr>
          <w:rFonts w:ascii="Times New Roman" w:hAnsi="Times New Roman" w:cs="Times New Roman"/>
          <w:color w:val="000000" w:themeColor="text1"/>
          <w:sz w:val="24"/>
        </w:rPr>
      </w:pPr>
    </w:p>
    <w:p w14:paraId="15FA720B" w14:textId="40E0DA6F" w:rsidR="00CE1364" w:rsidRDefault="005430FB">
      <w:pPr>
        <w:pStyle w:val="P68B1DB1-Normal22"/>
        <w:spacing w:after="0"/>
      </w:pPr>
      <w:r>
        <w:rPr>
          <w:b/>
        </w:rPr>
        <w:t>Tableau 2</w:t>
      </w:r>
      <w:r>
        <w:t>: Liste indicative d</w:t>
      </w:r>
      <w:r w:rsidR="00437412">
        <w:t xml:space="preserve">es </w:t>
      </w:r>
      <w:r>
        <w:t xml:space="preserve">indicateurs supplémentaires pour les </w:t>
      </w:r>
      <w:r w:rsidR="007D44F2">
        <w:t>exigences essentielles</w:t>
      </w:r>
      <w:r>
        <w:t>*</w:t>
      </w:r>
    </w:p>
    <w:tbl>
      <w:tblPr>
        <w:tblStyle w:val="TableGrid"/>
        <w:tblW w:w="0" w:type="auto"/>
        <w:tblLook w:val="04A0" w:firstRow="1" w:lastRow="0" w:firstColumn="1" w:lastColumn="0" w:noHBand="0" w:noVBand="1"/>
      </w:tblPr>
      <w:tblGrid>
        <w:gridCol w:w="2361"/>
        <w:gridCol w:w="4951"/>
        <w:gridCol w:w="2038"/>
      </w:tblGrid>
      <w:tr w:rsidR="00CE1364" w14:paraId="2C273F3F" w14:textId="77777777">
        <w:tc>
          <w:tcPr>
            <w:tcW w:w="2450" w:type="dxa"/>
            <w:shd w:val="clear" w:color="auto" w:fill="D5DCE4" w:themeFill="text2" w:themeFillTint="33"/>
          </w:tcPr>
          <w:p w14:paraId="08FB70A8" w14:textId="0D28AA1F" w:rsidR="00CE1364" w:rsidRDefault="005430FB" w:rsidP="009B0ABB">
            <w:pPr>
              <w:pStyle w:val="P68B1DB1-Normal15"/>
            </w:pPr>
            <w:r>
              <w:t xml:space="preserve">Exigence </w:t>
            </w:r>
            <w:r w:rsidR="007D44F2">
              <w:t>essentielles</w:t>
            </w:r>
          </w:p>
        </w:tc>
        <w:tc>
          <w:tcPr>
            <w:tcW w:w="5197" w:type="dxa"/>
            <w:shd w:val="clear" w:color="auto" w:fill="D5DCE4" w:themeFill="text2" w:themeFillTint="33"/>
          </w:tcPr>
          <w:p w14:paraId="311D9887" w14:textId="48480619" w:rsidR="00CE1364" w:rsidRDefault="005430FB">
            <w:pPr>
              <w:pStyle w:val="P68B1DB1-Normal15"/>
            </w:pPr>
            <w:r>
              <w:t>Indicateurs*</w:t>
            </w:r>
          </w:p>
        </w:tc>
        <w:tc>
          <w:tcPr>
            <w:tcW w:w="1703" w:type="dxa"/>
            <w:shd w:val="clear" w:color="auto" w:fill="D5DCE4" w:themeFill="text2" w:themeFillTint="33"/>
          </w:tcPr>
          <w:p w14:paraId="57712F0F" w14:textId="6C1319E9" w:rsidR="00CE1364" w:rsidRDefault="007D44F2">
            <w:pPr>
              <w:pStyle w:val="P68B1DB1-Normal15"/>
            </w:pPr>
            <w:r>
              <w:t xml:space="preserve">Mesures </w:t>
            </w:r>
            <w:r w:rsidR="005430FB">
              <w:t>possibles</w:t>
            </w:r>
          </w:p>
        </w:tc>
      </w:tr>
      <w:tr w:rsidR="00CE1364" w14:paraId="4061AFB4" w14:textId="77777777">
        <w:tc>
          <w:tcPr>
            <w:tcW w:w="2450" w:type="dxa"/>
          </w:tcPr>
          <w:p w14:paraId="500F409F" w14:textId="5176DEA0" w:rsidR="00CE1364" w:rsidRDefault="005430FB">
            <w:pPr>
              <w:pStyle w:val="P68B1DB1-Normal15"/>
            </w:pPr>
            <w:r>
              <w:t>CR 1</w:t>
            </w:r>
          </w:p>
        </w:tc>
        <w:tc>
          <w:tcPr>
            <w:tcW w:w="5197" w:type="dxa"/>
          </w:tcPr>
          <w:p w14:paraId="742F02F4" w14:textId="33D5F7C1" w:rsidR="00CE1364" w:rsidRDefault="005430FB">
            <w:pPr>
              <w:pStyle w:val="P68B1DB1-Normal17"/>
            </w:pPr>
            <w:r>
              <w:t>1. Dans quelle mesure les parties prenantes ont-elles confirmé les besoins statistiques détaillés (quoi, quand, comment et pourquoi) tels que documentés par l’</w:t>
            </w:r>
            <w:r w:rsidR="00DF661A">
              <w:t>I</w:t>
            </w:r>
            <w:r>
              <w:t>NS?</w:t>
            </w:r>
          </w:p>
        </w:tc>
        <w:tc>
          <w:tcPr>
            <w:tcW w:w="1703" w:type="dxa"/>
          </w:tcPr>
          <w:p w14:paraId="4A9139C2" w14:textId="00CE64BE" w:rsidR="00CE1364" w:rsidRDefault="005430FB">
            <w:pPr>
              <w:pStyle w:val="P68B1DB1-Normal17"/>
            </w:pPr>
            <w:r>
              <w:t>Oui/Non/Partiellement</w:t>
            </w:r>
          </w:p>
        </w:tc>
      </w:tr>
      <w:tr w:rsidR="00CE1364" w14:paraId="5DC24236" w14:textId="77777777">
        <w:tc>
          <w:tcPr>
            <w:tcW w:w="2450" w:type="dxa"/>
          </w:tcPr>
          <w:p w14:paraId="5C7AFDEB" w14:textId="77777777" w:rsidR="00CE1364" w:rsidRDefault="00CE1364">
            <w:pPr>
              <w:rPr>
                <w:rFonts w:asciiTheme="majorBidi" w:hAnsiTheme="majorBidi" w:cstheme="majorBidi"/>
                <w:b/>
                <w:sz w:val="20"/>
              </w:rPr>
            </w:pPr>
          </w:p>
        </w:tc>
        <w:tc>
          <w:tcPr>
            <w:tcW w:w="5197" w:type="dxa"/>
          </w:tcPr>
          <w:p w14:paraId="756C0752" w14:textId="1DDB0B82" w:rsidR="00CE1364" w:rsidRDefault="005430FB">
            <w:pPr>
              <w:pStyle w:val="P68B1DB1-Normal17"/>
            </w:pPr>
            <w:r>
              <w:t>2. Dans quelle mesure la source de données répond-elle à la demande d’information?</w:t>
            </w:r>
          </w:p>
        </w:tc>
        <w:tc>
          <w:tcPr>
            <w:tcW w:w="1703" w:type="dxa"/>
          </w:tcPr>
          <w:p w14:paraId="4C61C4A8" w14:textId="16AD680F" w:rsidR="00CE1364" w:rsidRDefault="005430FB">
            <w:pPr>
              <w:pStyle w:val="P68B1DB1-Normal17"/>
              <w:rPr>
                <w:color w:val="000000" w:themeColor="text1"/>
              </w:rPr>
            </w:pPr>
            <w:r>
              <w:t>Oui/Non/Partiellement</w:t>
            </w:r>
          </w:p>
        </w:tc>
      </w:tr>
      <w:tr w:rsidR="00CE1364" w14:paraId="50A035CC" w14:textId="77777777">
        <w:tc>
          <w:tcPr>
            <w:tcW w:w="2450" w:type="dxa"/>
          </w:tcPr>
          <w:p w14:paraId="745053D4" w14:textId="77777777" w:rsidR="00CE1364" w:rsidRDefault="005430FB">
            <w:pPr>
              <w:pStyle w:val="P68B1DB1-Normal15"/>
            </w:pPr>
            <w:r>
              <w:t xml:space="preserve">CR 4 </w:t>
            </w:r>
          </w:p>
        </w:tc>
        <w:tc>
          <w:tcPr>
            <w:tcW w:w="5197" w:type="dxa"/>
          </w:tcPr>
          <w:p w14:paraId="48ACD849" w14:textId="34A2FC7F" w:rsidR="00CE1364" w:rsidRDefault="005430FB">
            <w:pPr>
              <w:pStyle w:val="P68B1DB1-Normal17"/>
            </w:pPr>
            <w:r>
              <w:t>3. Durée prévue de</w:t>
            </w:r>
            <w:r w:rsidR="00437412">
              <w:t>s</w:t>
            </w:r>
            <w:r>
              <w:t xml:space="preserve"> séries chronologiques comparables.</w:t>
            </w:r>
          </w:p>
        </w:tc>
        <w:tc>
          <w:tcPr>
            <w:tcW w:w="1703" w:type="dxa"/>
          </w:tcPr>
          <w:p w14:paraId="29F2547E" w14:textId="52AC7FF6" w:rsidR="00CE1364" w:rsidRDefault="005430FB">
            <w:pPr>
              <w:pStyle w:val="P68B1DB1-Normal17"/>
            </w:pPr>
            <w:r>
              <w:t>Nombre de périodes</w:t>
            </w:r>
          </w:p>
        </w:tc>
      </w:tr>
      <w:tr w:rsidR="00CE1364" w14:paraId="5B34FF8B" w14:textId="77777777">
        <w:tc>
          <w:tcPr>
            <w:tcW w:w="2450" w:type="dxa"/>
          </w:tcPr>
          <w:p w14:paraId="7E9E5943" w14:textId="1AEB7477" w:rsidR="00CE1364" w:rsidRDefault="005430FB">
            <w:pPr>
              <w:pStyle w:val="P68B1DB1-Normal15"/>
            </w:pPr>
            <w:r>
              <w:t>CR 5</w:t>
            </w:r>
          </w:p>
        </w:tc>
        <w:tc>
          <w:tcPr>
            <w:tcW w:w="5197" w:type="dxa"/>
          </w:tcPr>
          <w:p w14:paraId="1BD36D7B" w14:textId="1F2C56D5" w:rsidR="00CE1364" w:rsidRDefault="005430FB" w:rsidP="009B0ABB">
            <w:pPr>
              <w:pStyle w:val="P68B1DB1-Normal17"/>
            </w:pPr>
            <w:r>
              <w:t xml:space="preserve">4. Existence d’un plan de notification préalable </w:t>
            </w:r>
            <w:r w:rsidR="00DF661A">
              <w:t>d</w:t>
            </w:r>
            <w:r>
              <w:t xml:space="preserve">es modifications à venir de la source de données. Un plan d’urgence pour les changements apportés aux données ou à la source de données est-il </w:t>
            </w:r>
            <w:r w:rsidR="00DF661A">
              <w:t>disponible</w:t>
            </w:r>
            <w:r>
              <w:t>?</w:t>
            </w:r>
          </w:p>
        </w:tc>
        <w:tc>
          <w:tcPr>
            <w:tcW w:w="1703" w:type="dxa"/>
          </w:tcPr>
          <w:p w14:paraId="191BD131" w14:textId="6A860FA0" w:rsidR="00CE1364" w:rsidRDefault="005430FB">
            <w:pPr>
              <w:pStyle w:val="P68B1DB1-Normal18"/>
            </w:pPr>
            <w:r>
              <w:t>Oui/Non</w:t>
            </w:r>
          </w:p>
        </w:tc>
      </w:tr>
      <w:tr w:rsidR="00CE1364" w14:paraId="47A3A477" w14:textId="77777777">
        <w:tc>
          <w:tcPr>
            <w:tcW w:w="2450" w:type="dxa"/>
          </w:tcPr>
          <w:p w14:paraId="7501AF54" w14:textId="77777777" w:rsidR="00CE1364" w:rsidRDefault="00CE1364">
            <w:pPr>
              <w:rPr>
                <w:rFonts w:asciiTheme="majorBidi" w:hAnsiTheme="majorBidi" w:cstheme="majorBidi"/>
                <w:b/>
                <w:sz w:val="20"/>
              </w:rPr>
            </w:pPr>
          </w:p>
        </w:tc>
        <w:tc>
          <w:tcPr>
            <w:tcW w:w="5197" w:type="dxa"/>
          </w:tcPr>
          <w:p w14:paraId="5CB02AEA" w14:textId="7C57CA5F" w:rsidR="00CE1364" w:rsidRDefault="005430FB" w:rsidP="009B0ABB">
            <w:pPr>
              <w:pStyle w:val="P68B1DB1-Normal17"/>
            </w:pPr>
            <w:r>
              <w:t>5. Pourcentage de données transmises conformément aux accords conclus avec les propriétaires de données administratives (par exemple, format, calendrier)</w:t>
            </w:r>
            <w:r w:rsidR="00DF661A">
              <w:rPr>
                <w:color w:val="000000" w:themeColor="text1"/>
              </w:rPr>
              <w:t xml:space="preserve">, </w:t>
            </w:r>
            <w:r>
              <w:rPr>
                <w:color w:val="000000" w:themeColor="text1"/>
              </w:rPr>
              <w:t xml:space="preserve">le pourcentage </w:t>
            </w:r>
            <w:r w:rsidR="00DF661A">
              <w:rPr>
                <w:color w:val="000000" w:themeColor="text1"/>
              </w:rPr>
              <w:t xml:space="preserve">étant </w:t>
            </w:r>
            <w:r>
              <w:rPr>
                <w:color w:val="000000" w:themeColor="text1"/>
              </w:rPr>
              <w:t xml:space="preserve">calculé en fonction du nombre d’observations dans </w:t>
            </w:r>
            <w:r w:rsidR="00F00633">
              <w:rPr>
                <w:color w:val="000000" w:themeColor="text1"/>
              </w:rPr>
              <w:t>le jeu de données</w:t>
            </w:r>
            <w:r>
              <w:t>.</w:t>
            </w:r>
          </w:p>
        </w:tc>
        <w:tc>
          <w:tcPr>
            <w:tcW w:w="1703" w:type="dxa"/>
          </w:tcPr>
          <w:p w14:paraId="6D6B4785" w14:textId="78CB615E" w:rsidR="00CE1364" w:rsidRDefault="005430FB">
            <w:pPr>
              <w:pStyle w:val="P68B1DB1-Normal17"/>
            </w:pPr>
            <w:r>
              <w:t>Pourcentage</w:t>
            </w:r>
          </w:p>
        </w:tc>
      </w:tr>
      <w:tr w:rsidR="00CE1364" w14:paraId="6F0518D3" w14:textId="77777777">
        <w:tc>
          <w:tcPr>
            <w:tcW w:w="2450" w:type="dxa"/>
          </w:tcPr>
          <w:p w14:paraId="7BAD5265" w14:textId="45B3E488" w:rsidR="00CE1364" w:rsidRDefault="005430FB">
            <w:pPr>
              <w:pStyle w:val="P68B1DB1-Normal15"/>
            </w:pPr>
            <w:r>
              <w:t>CR 7</w:t>
            </w:r>
          </w:p>
        </w:tc>
        <w:tc>
          <w:tcPr>
            <w:tcW w:w="5197" w:type="dxa"/>
          </w:tcPr>
          <w:p w14:paraId="433ED8BD" w14:textId="35A74253" w:rsidR="00CE1364" w:rsidRDefault="005430FB">
            <w:pPr>
              <w:pStyle w:val="P68B1DB1-Normal17"/>
            </w:pPr>
            <w:r>
              <w:t>6. Mesure dans laquelle les concepts, définitions et classifications associés aux variables et aux populations (clés) suivent les normes internationales ou nationales.</w:t>
            </w:r>
          </w:p>
        </w:tc>
        <w:tc>
          <w:tcPr>
            <w:tcW w:w="1703" w:type="dxa"/>
          </w:tcPr>
          <w:p w14:paraId="5D0DA1CD" w14:textId="28E2C685" w:rsidR="00CE1364" w:rsidRDefault="005430FB">
            <w:pPr>
              <w:pStyle w:val="P68B1DB1-Normal17"/>
            </w:pPr>
            <w:r>
              <w:t>Échelle</w:t>
            </w:r>
          </w:p>
        </w:tc>
      </w:tr>
      <w:tr w:rsidR="00CE1364" w14:paraId="3D9C1962" w14:textId="77777777">
        <w:tc>
          <w:tcPr>
            <w:tcW w:w="2450" w:type="dxa"/>
          </w:tcPr>
          <w:p w14:paraId="00B9DB2A" w14:textId="77777777" w:rsidR="00CE1364" w:rsidRDefault="00CE1364">
            <w:pPr>
              <w:rPr>
                <w:rFonts w:asciiTheme="majorBidi" w:hAnsiTheme="majorBidi" w:cstheme="majorBidi"/>
                <w:b/>
                <w:sz w:val="20"/>
              </w:rPr>
            </w:pPr>
          </w:p>
        </w:tc>
        <w:tc>
          <w:tcPr>
            <w:tcW w:w="5197" w:type="dxa"/>
          </w:tcPr>
          <w:p w14:paraId="751978FA" w14:textId="56959325" w:rsidR="00CE1364" w:rsidRDefault="005430FB">
            <w:pPr>
              <w:pStyle w:val="P68B1DB1-Normal17"/>
            </w:pPr>
            <w:r>
              <w:t>7. Degré de conformité conceptuelle de l’unité réelle (objet) d’observation avec l’unité d’observation souhaitée et impact de toute différence sur l’exactitude des données**</w:t>
            </w:r>
          </w:p>
        </w:tc>
        <w:tc>
          <w:tcPr>
            <w:tcW w:w="1703" w:type="dxa"/>
          </w:tcPr>
          <w:p w14:paraId="6D42FACA" w14:textId="23DBA496" w:rsidR="00CE1364" w:rsidRDefault="005430FB">
            <w:pPr>
              <w:pStyle w:val="P68B1DB1-Normal17"/>
            </w:pPr>
            <w:r>
              <w:t>Qualitative</w:t>
            </w:r>
          </w:p>
        </w:tc>
      </w:tr>
      <w:tr w:rsidR="00CE1364" w14:paraId="30752F5E" w14:textId="77777777">
        <w:tc>
          <w:tcPr>
            <w:tcW w:w="2450" w:type="dxa"/>
          </w:tcPr>
          <w:p w14:paraId="65F73D46" w14:textId="77777777" w:rsidR="00CE1364" w:rsidRDefault="00CE1364">
            <w:pPr>
              <w:rPr>
                <w:rFonts w:asciiTheme="majorBidi" w:hAnsiTheme="majorBidi" w:cstheme="majorBidi"/>
                <w:b/>
                <w:sz w:val="20"/>
              </w:rPr>
            </w:pPr>
          </w:p>
        </w:tc>
        <w:tc>
          <w:tcPr>
            <w:tcW w:w="5197" w:type="dxa"/>
          </w:tcPr>
          <w:p w14:paraId="58F688F6" w14:textId="441FFC48" w:rsidR="00CE1364" w:rsidRDefault="005430FB">
            <w:pPr>
              <w:pStyle w:val="P68B1DB1-Normal17"/>
            </w:pPr>
            <w:r>
              <w:t>8. Degré de conformité conceptuelle des variables avec les variables souhaitées et impact de toute différence sur l’exactitude des données**</w:t>
            </w:r>
          </w:p>
        </w:tc>
        <w:tc>
          <w:tcPr>
            <w:tcW w:w="1703" w:type="dxa"/>
          </w:tcPr>
          <w:p w14:paraId="04F119BE" w14:textId="7448E9A6" w:rsidR="00CE1364" w:rsidRDefault="005430FB">
            <w:pPr>
              <w:pStyle w:val="P68B1DB1-Normal17"/>
            </w:pPr>
            <w:r>
              <w:t>Qualitative</w:t>
            </w:r>
          </w:p>
        </w:tc>
      </w:tr>
      <w:tr w:rsidR="00CE1364" w14:paraId="00A259AC" w14:textId="77777777">
        <w:tc>
          <w:tcPr>
            <w:tcW w:w="2450" w:type="dxa"/>
          </w:tcPr>
          <w:p w14:paraId="3887F073" w14:textId="584777DD" w:rsidR="00CE1364" w:rsidRDefault="005430FB">
            <w:pPr>
              <w:pStyle w:val="P68B1DB1-Normal15"/>
            </w:pPr>
            <w:r>
              <w:t>CR 8</w:t>
            </w:r>
          </w:p>
        </w:tc>
        <w:tc>
          <w:tcPr>
            <w:tcW w:w="5197" w:type="dxa"/>
          </w:tcPr>
          <w:p w14:paraId="5220313C" w14:textId="1C593F14" w:rsidR="00CE1364" w:rsidRDefault="005430FB">
            <w:pPr>
              <w:pStyle w:val="P68B1DB1-Normal17"/>
            </w:pPr>
            <w:r>
              <w:t>9. Quand la technique de collecte des données a-t-elle été révisée/améliorée pour la dernière fois?</w:t>
            </w:r>
          </w:p>
        </w:tc>
        <w:tc>
          <w:tcPr>
            <w:tcW w:w="1703" w:type="dxa"/>
          </w:tcPr>
          <w:p w14:paraId="380DB33F" w14:textId="77777777" w:rsidR="00CE1364" w:rsidRDefault="005430FB">
            <w:pPr>
              <w:pStyle w:val="P68B1DB1-Normal17"/>
            </w:pPr>
            <w:r>
              <w:t>Années</w:t>
            </w:r>
          </w:p>
        </w:tc>
      </w:tr>
      <w:tr w:rsidR="00CE1364" w14:paraId="1728C356" w14:textId="77777777">
        <w:tc>
          <w:tcPr>
            <w:tcW w:w="2450" w:type="dxa"/>
          </w:tcPr>
          <w:p w14:paraId="43C7C69E" w14:textId="0E69D38D" w:rsidR="00CE1364" w:rsidRDefault="005430FB">
            <w:pPr>
              <w:pStyle w:val="P68B1DB1-Normal15"/>
            </w:pPr>
            <w:r>
              <w:t>CR 9</w:t>
            </w:r>
          </w:p>
        </w:tc>
        <w:tc>
          <w:tcPr>
            <w:tcW w:w="5197" w:type="dxa"/>
          </w:tcPr>
          <w:p w14:paraId="621B7A55" w14:textId="4EFB86AA" w:rsidR="00CE1364" w:rsidRDefault="005430FB">
            <w:pPr>
              <w:pStyle w:val="P68B1DB1-Normal17"/>
            </w:pPr>
            <w:r>
              <w:t xml:space="preserve">10. Mesure dans laquelle les techniques d’intégration des données administratives sont comprises et spécifiées, tant pour l’utilisation directe qu’indirecte des </w:t>
            </w:r>
            <w:r w:rsidR="00A94F9D">
              <w:t xml:space="preserve">jeux </w:t>
            </w:r>
            <w:r>
              <w:t>de données administratives.</w:t>
            </w:r>
          </w:p>
        </w:tc>
        <w:tc>
          <w:tcPr>
            <w:tcW w:w="1703" w:type="dxa"/>
          </w:tcPr>
          <w:p w14:paraId="5330EE09" w14:textId="20CB3EFF" w:rsidR="00CE1364" w:rsidRDefault="005430FB">
            <w:pPr>
              <w:pStyle w:val="P68B1DB1-Normal17"/>
            </w:pPr>
            <w:r>
              <w:t>Oui/Non/Partiellement</w:t>
            </w:r>
          </w:p>
        </w:tc>
      </w:tr>
      <w:tr w:rsidR="00CE1364" w14:paraId="5B3B0318" w14:textId="77777777">
        <w:tc>
          <w:tcPr>
            <w:tcW w:w="2450" w:type="dxa"/>
          </w:tcPr>
          <w:p w14:paraId="0383F75D" w14:textId="0420074F" w:rsidR="00CE1364" w:rsidRDefault="00CE1364">
            <w:pPr>
              <w:rPr>
                <w:rFonts w:asciiTheme="majorBidi" w:hAnsiTheme="majorBidi" w:cstheme="majorBidi"/>
                <w:b/>
                <w:sz w:val="20"/>
              </w:rPr>
            </w:pPr>
          </w:p>
        </w:tc>
        <w:tc>
          <w:tcPr>
            <w:tcW w:w="5197" w:type="dxa"/>
          </w:tcPr>
          <w:p w14:paraId="78B5544B" w14:textId="5844D6D2" w:rsidR="00CE1364" w:rsidRDefault="005430FB" w:rsidP="009B0ABB">
            <w:pPr>
              <w:pStyle w:val="P68B1DB1-Normal17"/>
            </w:pPr>
            <w:r>
              <w:t xml:space="preserve">11. Dans quelle mesure le processus opérationnel utilise-t-il des méthodes </w:t>
            </w:r>
            <w:r w:rsidR="00DF661A">
              <w:t xml:space="preserve">standardisées </w:t>
            </w:r>
            <w:r>
              <w:t xml:space="preserve">ou bien connues pour les phases suivantes (p. ex. codage, </w:t>
            </w:r>
            <w:r w:rsidR="00DF661A">
              <w:t xml:space="preserve">vérification </w:t>
            </w:r>
            <w:r>
              <w:t>et imputation, intégration des données, pondération, estimation, révision), de manière transparente?</w:t>
            </w:r>
          </w:p>
        </w:tc>
        <w:tc>
          <w:tcPr>
            <w:tcW w:w="1703" w:type="dxa"/>
          </w:tcPr>
          <w:p w14:paraId="5F6FB336" w14:textId="4E3C4DDF" w:rsidR="00CE1364" w:rsidRDefault="005430FB">
            <w:pPr>
              <w:pStyle w:val="P68B1DB1-Normal17"/>
            </w:pPr>
            <w:r>
              <w:t>Oui/Non/Partiellement</w:t>
            </w:r>
          </w:p>
        </w:tc>
      </w:tr>
      <w:tr w:rsidR="00CE1364" w14:paraId="4899B97C" w14:textId="77777777">
        <w:tc>
          <w:tcPr>
            <w:tcW w:w="2450" w:type="dxa"/>
          </w:tcPr>
          <w:p w14:paraId="2E4AF45F" w14:textId="77777777" w:rsidR="00CE1364" w:rsidRDefault="00CE1364">
            <w:pPr>
              <w:rPr>
                <w:rFonts w:asciiTheme="majorBidi" w:hAnsiTheme="majorBidi" w:cstheme="majorBidi"/>
                <w:b/>
                <w:sz w:val="20"/>
              </w:rPr>
            </w:pPr>
          </w:p>
        </w:tc>
        <w:tc>
          <w:tcPr>
            <w:tcW w:w="5197" w:type="dxa"/>
          </w:tcPr>
          <w:p w14:paraId="0C8DA9F2" w14:textId="63F22269" w:rsidR="00CE1364" w:rsidRDefault="005430FB" w:rsidP="009B0ABB">
            <w:pPr>
              <w:pStyle w:val="P68B1DB1-Normal17"/>
            </w:pPr>
            <w:r>
              <w:t xml:space="preserve">12. Pourcentage de processus </w:t>
            </w:r>
            <w:r w:rsidR="00DF661A">
              <w:t xml:space="preserve">(et sous-processus) </w:t>
            </w:r>
            <w:r>
              <w:t>GSBPM identifiés et documentés avec leurs flux</w:t>
            </w:r>
          </w:p>
        </w:tc>
        <w:tc>
          <w:tcPr>
            <w:tcW w:w="1703" w:type="dxa"/>
          </w:tcPr>
          <w:p w14:paraId="31BD5CB1" w14:textId="27071A43" w:rsidR="00CE1364" w:rsidRDefault="005430FB">
            <w:pPr>
              <w:pStyle w:val="P68B1DB1-Normal17"/>
            </w:pPr>
            <w:r>
              <w:t>Pourcentage</w:t>
            </w:r>
          </w:p>
        </w:tc>
      </w:tr>
      <w:tr w:rsidR="00CE1364" w14:paraId="6A93E987" w14:textId="77777777">
        <w:tc>
          <w:tcPr>
            <w:tcW w:w="2450" w:type="dxa"/>
          </w:tcPr>
          <w:p w14:paraId="0E60F27C" w14:textId="77777777" w:rsidR="00CE1364" w:rsidRDefault="00CE1364">
            <w:pPr>
              <w:rPr>
                <w:rFonts w:asciiTheme="majorBidi" w:hAnsiTheme="majorBidi" w:cstheme="majorBidi"/>
                <w:b/>
                <w:sz w:val="20"/>
              </w:rPr>
            </w:pPr>
          </w:p>
        </w:tc>
        <w:tc>
          <w:tcPr>
            <w:tcW w:w="5197" w:type="dxa"/>
          </w:tcPr>
          <w:p w14:paraId="3843409C" w14:textId="5B1EF41A" w:rsidR="00CE1364" w:rsidRDefault="005430FB" w:rsidP="009B0ABB">
            <w:pPr>
              <w:pStyle w:val="P68B1DB1-Normal17"/>
            </w:pPr>
            <w:r>
              <w:t xml:space="preserve">13. Les spécifications des systèmes de production et du flux de travail tiennent compte du type de données traitées (données </w:t>
            </w:r>
            <w:r w:rsidR="00DF661A">
              <w:t xml:space="preserve">des répondants </w:t>
            </w:r>
            <w:r>
              <w:t>ou données administratives ou combinaison</w:t>
            </w:r>
            <w:r w:rsidR="00DF661A">
              <w:t xml:space="preserve"> de celles-ci</w:t>
            </w:r>
            <w:r>
              <w:t>).</w:t>
            </w:r>
          </w:p>
        </w:tc>
        <w:tc>
          <w:tcPr>
            <w:tcW w:w="1703" w:type="dxa"/>
          </w:tcPr>
          <w:p w14:paraId="0712780B" w14:textId="6FB632E2" w:rsidR="00CE1364" w:rsidRDefault="005430FB">
            <w:pPr>
              <w:pStyle w:val="P68B1DB1-Normal17"/>
            </w:pPr>
            <w:r>
              <w:t>Oui/Non/Partiellement</w:t>
            </w:r>
          </w:p>
        </w:tc>
      </w:tr>
      <w:tr w:rsidR="00CE1364" w14:paraId="73A3F59C" w14:textId="77777777">
        <w:tc>
          <w:tcPr>
            <w:tcW w:w="2450" w:type="dxa"/>
          </w:tcPr>
          <w:p w14:paraId="19D57FAF" w14:textId="77777777" w:rsidR="00CE1364" w:rsidRDefault="00CE1364">
            <w:pPr>
              <w:rPr>
                <w:rFonts w:asciiTheme="majorBidi" w:hAnsiTheme="majorBidi" w:cstheme="majorBidi"/>
                <w:b/>
                <w:sz w:val="20"/>
              </w:rPr>
            </w:pPr>
          </w:p>
        </w:tc>
        <w:tc>
          <w:tcPr>
            <w:tcW w:w="5197" w:type="dxa"/>
          </w:tcPr>
          <w:p w14:paraId="2E900F01" w14:textId="4D87811B" w:rsidR="00CE1364" w:rsidRDefault="005430FB">
            <w:pPr>
              <w:pStyle w:val="P68B1DB1-Normal17"/>
            </w:pPr>
            <w:r>
              <w:t xml:space="preserve">14. Les composants du processus de </w:t>
            </w:r>
            <w:r w:rsidR="00CF56CC">
              <w:t>couplage</w:t>
            </w:r>
            <w:r>
              <w:t xml:space="preserve"> de données ont-ils été testés et affinés?</w:t>
            </w:r>
          </w:p>
        </w:tc>
        <w:tc>
          <w:tcPr>
            <w:tcW w:w="1703" w:type="dxa"/>
          </w:tcPr>
          <w:p w14:paraId="679C5634" w14:textId="552158C9" w:rsidR="00CE1364" w:rsidRDefault="005430FB">
            <w:pPr>
              <w:pStyle w:val="P68B1DB1-Normal17"/>
            </w:pPr>
            <w:r>
              <w:t>Oui/Non/Partiellement</w:t>
            </w:r>
          </w:p>
        </w:tc>
      </w:tr>
      <w:tr w:rsidR="00CE1364" w14:paraId="46EF92A7" w14:textId="77777777">
        <w:tc>
          <w:tcPr>
            <w:tcW w:w="2450" w:type="dxa"/>
          </w:tcPr>
          <w:p w14:paraId="73C4F0F3" w14:textId="77777777" w:rsidR="00CE1364" w:rsidRDefault="00CE1364">
            <w:pPr>
              <w:rPr>
                <w:rFonts w:asciiTheme="majorBidi" w:hAnsiTheme="majorBidi" w:cstheme="majorBidi"/>
                <w:b/>
                <w:sz w:val="20"/>
              </w:rPr>
            </w:pPr>
          </w:p>
        </w:tc>
        <w:tc>
          <w:tcPr>
            <w:tcW w:w="5197" w:type="dxa"/>
          </w:tcPr>
          <w:p w14:paraId="655C9E73" w14:textId="649C9907" w:rsidR="00CE1364" w:rsidRDefault="005430FB">
            <w:pPr>
              <w:pStyle w:val="P68B1DB1-Normal17"/>
            </w:pPr>
            <w:r>
              <w:t>15. Degré de cohérence avec d’autres sources, avec des données provisoires, avec des estimations rapides, et avec les résultats antérieurs du même processus.</w:t>
            </w:r>
          </w:p>
        </w:tc>
        <w:tc>
          <w:tcPr>
            <w:tcW w:w="1703" w:type="dxa"/>
          </w:tcPr>
          <w:p w14:paraId="2D378B81" w14:textId="3DDF39BE" w:rsidR="00CE1364" w:rsidRDefault="005430FB">
            <w:pPr>
              <w:pStyle w:val="P68B1DB1-Normal17"/>
            </w:pPr>
            <w:r>
              <w:t>Échelle</w:t>
            </w:r>
          </w:p>
        </w:tc>
      </w:tr>
      <w:tr w:rsidR="00CE1364" w14:paraId="123BF36C" w14:textId="77777777">
        <w:tc>
          <w:tcPr>
            <w:tcW w:w="2450" w:type="dxa"/>
          </w:tcPr>
          <w:p w14:paraId="581A9F30" w14:textId="77777777" w:rsidR="00CE1364" w:rsidRDefault="00CE1364">
            <w:pPr>
              <w:rPr>
                <w:rFonts w:asciiTheme="majorBidi" w:hAnsiTheme="majorBidi" w:cstheme="majorBidi"/>
                <w:b/>
                <w:sz w:val="20"/>
              </w:rPr>
            </w:pPr>
          </w:p>
        </w:tc>
        <w:tc>
          <w:tcPr>
            <w:tcW w:w="5197" w:type="dxa"/>
          </w:tcPr>
          <w:p w14:paraId="1059D3E6" w14:textId="43C79E2B" w:rsidR="00CE1364" w:rsidRDefault="005430FB">
            <w:pPr>
              <w:pStyle w:val="P68B1DB1-Normal17"/>
            </w:pPr>
            <w:r>
              <w:t>16. Comparabilité des résultats dans le temps et avec les résultats d’autres sources de données**</w:t>
            </w:r>
          </w:p>
        </w:tc>
        <w:tc>
          <w:tcPr>
            <w:tcW w:w="1703" w:type="dxa"/>
          </w:tcPr>
          <w:p w14:paraId="6122E1C3" w14:textId="77777777" w:rsidR="00CE1364" w:rsidRDefault="005430FB">
            <w:pPr>
              <w:pStyle w:val="P68B1DB1-Normal17"/>
            </w:pPr>
            <w:r>
              <w:t>Qualitative</w:t>
            </w:r>
          </w:p>
        </w:tc>
      </w:tr>
      <w:tr w:rsidR="00CE1364" w14:paraId="1783E3EB" w14:textId="77777777">
        <w:tc>
          <w:tcPr>
            <w:tcW w:w="2450" w:type="dxa"/>
          </w:tcPr>
          <w:p w14:paraId="4A336ECB" w14:textId="0B899627" w:rsidR="00CE1364" w:rsidRDefault="005430FB">
            <w:pPr>
              <w:pStyle w:val="P68B1DB1-Normal15"/>
            </w:pPr>
            <w:r>
              <w:t>CR 10</w:t>
            </w:r>
          </w:p>
        </w:tc>
        <w:tc>
          <w:tcPr>
            <w:tcW w:w="5197" w:type="dxa"/>
          </w:tcPr>
          <w:p w14:paraId="322E4241" w14:textId="1B5E06AD" w:rsidR="00CE1364" w:rsidRDefault="005430FB" w:rsidP="009B0ABB">
            <w:pPr>
              <w:pStyle w:val="P68B1DB1-Normal17"/>
            </w:pPr>
            <w:r>
              <w:t xml:space="preserve">17. Dans quelle mesure des contraintes juridiques ont-elles été prises en compte en ce qui concerne les produits statistiques, par exemple, mais sans s’y limiter, pour garantir la confidentialité des données et </w:t>
            </w:r>
            <w:r w:rsidR="00CF56CC">
              <w:t xml:space="preserve">prévenir </w:t>
            </w:r>
            <w:r>
              <w:t>la divulgation d</w:t>
            </w:r>
            <w:r w:rsidR="00A94F9D">
              <w:t xml:space="preserve">es </w:t>
            </w:r>
            <w:r>
              <w:t>informations sensibles?</w:t>
            </w:r>
          </w:p>
        </w:tc>
        <w:tc>
          <w:tcPr>
            <w:tcW w:w="1703" w:type="dxa"/>
          </w:tcPr>
          <w:p w14:paraId="33B08FA8" w14:textId="18C09268" w:rsidR="00CE1364" w:rsidRDefault="005430FB">
            <w:pPr>
              <w:pStyle w:val="P68B1DB1-Normal17"/>
            </w:pPr>
            <w:r>
              <w:t>Oui/Non/Partiellement</w:t>
            </w:r>
          </w:p>
        </w:tc>
      </w:tr>
      <w:tr w:rsidR="00CE1364" w14:paraId="2A1AD863" w14:textId="77777777">
        <w:tc>
          <w:tcPr>
            <w:tcW w:w="2450" w:type="dxa"/>
          </w:tcPr>
          <w:p w14:paraId="274B4DF5" w14:textId="765C640B" w:rsidR="00CE1364" w:rsidRDefault="00CE1364">
            <w:pPr>
              <w:rPr>
                <w:rFonts w:asciiTheme="majorBidi" w:hAnsiTheme="majorBidi" w:cstheme="majorBidi"/>
                <w:b/>
                <w:sz w:val="20"/>
              </w:rPr>
            </w:pPr>
          </w:p>
        </w:tc>
        <w:tc>
          <w:tcPr>
            <w:tcW w:w="5197" w:type="dxa"/>
          </w:tcPr>
          <w:p w14:paraId="0EFA7E76" w14:textId="64531BAD" w:rsidR="00CE1364" w:rsidRDefault="005430FB">
            <w:pPr>
              <w:pStyle w:val="P68B1DB1-Normal17"/>
            </w:pPr>
            <w:r>
              <w:t>18. Les règles de confidentialité et les procédures d’accès aux microdonnées ont-elles été conçues?</w:t>
            </w:r>
          </w:p>
        </w:tc>
        <w:tc>
          <w:tcPr>
            <w:tcW w:w="1703" w:type="dxa"/>
          </w:tcPr>
          <w:p w14:paraId="3AD21FCD" w14:textId="33CA9323" w:rsidR="00CE1364" w:rsidRDefault="005430FB">
            <w:pPr>
              <w:pStyle w:val="P68B1DB1-Normal17"/>
            </w:pPr>
            <w:r>
              <w:t>Oui/Non/Partiellement</w:t>
            </w:r>
          </w:p>
        </w:tc>
      </w:tr>
      <w:tr w:rsidR="00CE1364" w14:paraId="2DD22324" w14:textId="77777777">
        <w:tc>
          <w:tcPr>
            <w:tcW w:w="2450" w:type="dxa"/>
          </w:tcPr>
          <w:p w14:paraId="62EC0A6E" w14:textId="0040CA22" w:rsidR="00CE1364" w:rsidRDefault="00CE1364">
            <w:pPr>
              <w:pStyle w:val="ListParagraph"/>
              <w:rPr>
                <w:rFonts w:asciiTheme="majorBidi" w:hAnsiTheme="majorBidi" w:cstheme="majorBidi"/>
                <w:sz w:val="20"/>
              </w:rPr>
            </w:pPr>
          </w:p>
        </w:tc>
        <w:tc>
          <w:tcPr>
            <w:tcW w:w="5197" w:type="dxa"/>
          </w:tcPr>
          <w:p w14:paraId="14590E35" w14:textId="6B7146EE" w:rsidR="00CE1364" w:rsidRDefault="005430FB">
            <w:pPr>
              <w:pStyle w:val="P68B1DB1-Normal18"/>
            </w:pPr>
            <w:r>
              <w:t>19. Dans quelle mesure les données sont-elles réellement protégées? Quel est le risque résiduel de divulgation?</w:t>
            </w:r>
          </w:p>
        </w:tc>
        <w:tc>
          <w:tcPr>
            <w:tcW w:w="1703" w:type="dxa"/>
          </w:tcPr>
          <w:p w14:paraId="3782BE7A" w14:textId="7D2ED64F" w:rsidR="00CE1364" w:rsidRDefault="005430FB">
            <w:pPr>
              <w:pStyle w:val="P68B1DB1-Normal17"/>
              <w:rPr>
                <w:color w:val="000000" w:themeColor="text1"/>
              </w:rPr>
            </w:pPr>
            <w:r>
              <w:t>Qualitative</w:t>
            </w:r>
          </w:p>
        </w:tc>
      </w:tr>
    </w:tbl>
    <w:p w14:paraId="6D3C4CB2" w14:textId="2436805A" w:rsidR="00CE1364" w:rsidRDefault="005430FB">
      <w:pPr>
        <w:pStyle w:val="P68B1DB1-Normal21"/>
        <w:spacing w:after="0"/>
      </w:pPr>
      <w:r>
        <w:t xml:space="preserve">* Sélectionné </w:t>
      </w:r>
      <w:r w:rsidR="007264DC">
        <w:t xml:space="preserve">du document « Indicateurs de qualité pour le modèle générique du processus de production statistique (GSBPM) — Pour les statistiques dérivées des enquêtes et des sources de données administratives, version 2.0, octobre 2017, de </w:t>
      </w:r>
      <w:r>
        <w:t>la Commission économique des Nations Unies pour l’Europe .</w:t>
      </w:r>
    </w:p>
    <w:p w14:paraId="12967F24" w14:textId="0746ECF1" w:rsidR="00CE1364" w:rsidRDefault="005430FB">
      <w:pPr>
        <w:pStyle w:val="P68B1DB1-Normal21"/>
        <w:spacing w:after="0"/>
      </w:pPr>
      <w:r>
        <w:t xml:space="preserve">** </w:t>
      </w:r>
      <w:r w:rsidR="007264DC">
        <w:t>I</w:t>
      </w:r>
      <w:r>
        <w:t>ndicateurs</w:t>
      </w:r>
      <w:r w:rsidR="007264DC">
        <w:t xml:space="preserve"> ajoutés</w:t>
      </w:r>
      <w:r>
        <w:t>.</w:t>
      </w:r>
    </w:p>
    <w:p w14:paraId="5B7B9E4B" w14:textId="77777777" w:rsidR="00CE1364" w:rsidRDefault="005430FB">
      <w:pPr>
        <w:pStyle w:val="P68B1DB1-Normal23"/>
      </w:pPr>
      <w:r>
        <w:br w:type="page"/>
      </w:r>
    </w:p>
    <w:p w14:paraId="28E403D0" w14:textId="711AEA35" w:rsidR="00CE1364" w:rsidRDefault="005430FB">
      <w:pPr>
        <w:pStyle w:val="P68B1DB1-Normal24"/>
        <w:keepNext/>
        <w:keepLines/>
        <w:spacing w:line="240" w:lineRule="auto"/>
      </w:pPr>
      <w:r>
        <w:lastRenderedPageBreak/>
        <w:t xml:space="preserve">Annexe 2: Glossaire </w:t>
      </w:r>
      <w:r w:rsidR="007264DC">
        <w:t>des</w:t>
      </w:r>
      <w:r>
        <w:t xml:space="preserve"> définition de termes </w:t>
      </w:r>
      <w:r w:rsidR="00C371D0">
        <w:t>importants</w:t>
      </w:r>
    </w:p>
    <w:p w14:paraId="4E72FAD5" w14:textId="2EB1AA0F" w:rsidR="00CE1364" w:rsidRPr="00E94DC8" w:rsidRDefault="00CD7CCB" w:rsidP="00F90A92">
      <w:pPr>
        <w:pStyle w:val="P68B1DB1-Normal2"/>
        <w:spacing w:after="120" w:line="240" w:lineRule="auto"/>
        <w:rPr>
          <w:color w:val="000000" w:themeColor="text1"/>
        </w:rPr>
      </w:pPr>
      <w:r w:rsidRPr="00E94DC8">
        <w:rPr>
          <w:color w:val="000000" w:themeColor="text1"/>
          <w:lang w:val="fr-FR"/>
        </w:rPr>
        <w:t xml:space="preserve">Ce glossaire fournit </w:t>
      </w:r>
      <w:r w:rsidR="00C371D0" w:rsidRPr="00E94DC8">
        <w:rPr>
          <w:color w:val="000000" w:themeColor="text1"/>
          <w:lang w:val="fr-FR"/>
        </w:rPr>
        <w:t>l</w:t>
      </w:r>
      <w:r w:rsidRPr="00E94DC8">
        <w:rPr>
          <w:color w:val="000000" w:themeColor="text1"/>
          <w:lang w:val="fr-FR"/>
        </w:rPr>
        <w:t>es définitions de termes importants utilisés dans ce module pour l'assurance qualité lors de l'utilisation de sources de données administratives et autres</w:t>
      </w:r>
      <w:r w:rsidR="00C371D0" w:rsidRPr="00E94DC8">
        <w:rPr>
          <w:color w:val="000000" w:themeColor="text1"/>
          <w:lang w:val="fr-FR"/>
        </w:rPr>
        <w:t xml:space="preserve"> sources de données</w:t>
      </w:r>
      <w:r w:rsidRPr="00E94DC8">
        <w:rPr>
          <w:color w:val="000000" w:themeColor="text1"/>
          <w:lang w:val="fr-FR"/>
        </w:rPr>
        <w:t xml:space="preserve">. Les définitions présentées ci-dessous sont utilisées tout au long de ce module, mais les pays peuvent avoir leurs propres définitions. Certaines des définitions décrivant les aspects de la qualité doivent être appliquées </w:t>
      </w:r>
      <w:r w:rsidR="00C371D0" w:rsidRPr="00E94DC8">
        <w:rPr>
          <w:color w:val="000000" w:themeColor="text1"/>
          <w:lang w:val="fr-FR"/>
        </w:rPr>
        <w:t xml:space="preserve">de manière spécifique dans certaines </w:t>
      </w:r>
      <w:r w:rsidRPr="00E94DC8">
        <w:rPr>
          <w:color w:val="000000" w:themeColor="text1"/>
          <w:lang w:val="fr-FR"/>
        </w:rPr>
        <w:t>situation</w:t>
      </w:r>
      <w:r w:rsidR="00C371D0" w:rsidRPr="00E94DC8">
        <w:rPr>
          <w:color w:val="000000" w:themeColor="text1"/>
          <w:lang w:val="fr-FR"/>
        </w:rPr>
        <w:t>s</w:t>
      </w:r>
      <w:r w:rsidRPr="00E94DC8">
        <w:rPr>
          <w:color w:val="000000" w:themeColor="text1"/>
          <w:lang w:val="fr-FR"/>
        </w:rPr>
        <w:t xml:space="preserve">, par exemple, </w:t>
      </w:r>
      <w:r w:rsidR="00C371D0" w:rsidRPr="00E94DC8">
        <w:rPr>
          <w:color w:val="000000" w:themeColor="text1"/>
          <w:lang w:val="fr-FR"/>
        </w:rPr>
        <w:t>l’actualité</w:t>
      </w:r>
      <w:r w:rsidRPr="00E94DC8">
        <w:rPr>
          <w:color w:val="000000" w:themeColor="text1"/>
          <w:lang w:val="fr-FR"/>
        </w:rPr>
        <w:t xml:space="preserve"> n'est pas le même pour les producteurs de statistiques officielles qui utilisent des données d'entrée et pour les utilisateurs de produits statistiques. Les définitions ci-dessous sont tirées du Manuel des cadres nationaux d'assurance </w:t>
      </w:r>
      <w:r w:rsidR="00C371D0" w:rsidRPr="00E94DC8">
        <w:rPr>
          <w:color w:val="000000" w:themeColor="text1"/>
          <w:lang w:val="fr-FR"/>
        </w:rPr>
        <w:t xml:space="preserve">de la </w:t>
      </w:r>
      <w:r w:rsidRPr="00E94DC8">
        <w:rPr>
          <w:color w:val="000000" w:themeColor="text1"/>
          <w:lang w:val="fr-FR"/>
        </w:rPr>
        <w:t xml:space="preserve">qualité des Nations Unies </w:t>
      </w:r>
      <w:r w:rsidR="00C371D0" w:rsidRPr="00E94DC8">
        <w:rPr>
          <w:color w:val="000000" w:themeColor="text1"/>
          <w:lang w:val="fr-FR"/>
        </w:rPr>
        <w:t>en</w:t>
      </w:r>
      <w:r w:rsidRPr="00E94DC8">
        <w:rPr>
          <w:color w:val="000000" w:themeColor="text1"/>
          <w:lang w:val="fr-FR"/>
        </w:rPr>
        <w:t xml:space="preserve"> </w:t>
      </w:r>
      <w:r w:rsidR="00C371D0" w:rsidRPr="00E94DC8">
        <w:rPr>
          <w:color w:val="000000" w:themeColor="text1"/>
          <w:lang w:val="fr-FR"/>
        </w:rPr>
        <w:t>s</w:t>
      </w:r>
      <w:r w:rsidRPr="00E94DC8">
        <w:rPr>
          <w:color w:val="000000" w:themeColor="text1"/>
          <w:lang w:val="fr-FR"/>
        </w:rPr>
        <w:t>tatistiques officielles (ci-après dénommé le Manuel) (voir paragraphe 1.14), sauf indication contraire</w:t>
      </w:r>
      <w:r w:rsidR="005430FB" w:rsidRPr="00E94DC8">
        <w:rPr>
          <w:color w:val="000000" w:themeColor="text1"/>
        </w:rPr>
        <w:t>.</w:t>
      </w:r>
    </w:p>
    <w:p w14:paraId="1C2C5229" w14:textId="77777777" w:rsidR="00F90A92" w:rsidRPr="00E94DC8" w:rsidRDefault="00F90A92" w:rsidP="00F90A92">
      <w:pPr>
        <w:pStyle w:val="P68B1DB1-Normal2"/>
        <w:spacing w:after="120" w:line="240" w:lineRule="auto"/>
        <w:rPr>
          <w:color w:val="000000" w:themeColor="text1"/>
          <w:lang w:val="fr-FR"/>
        </w:rPr>
      </w:pPr>
    </w:p>
    <w:p w14:paraId="2BFBE1AE" w14:textId="7CB5415E" w:rsidR="00CE1364" w:rsidRPr="00E94DC8" w:rsidRDefault="005430FB">
      <w:pPr>
        <w:pStyle w:val="P68B1DB1-Normal25"/>
        <w:spacing w:after="120" w:line="240" w:lineRule="auto"/>
      </w:pPr>
      <w:r w:rsidRPr="00E94DC8">
        <w:t>Termes qui décrivent les aspects de qualité</w:t>
      </w:r>
    </w:p>
    <w:p w14:paraId="22CD95BB" w14:textId="295332FA" w:rsidR="00CE1364" w:rsidRPr="00E94DC8" w:rsidRDefault="0086706C" w:rsidP="0086706C">
      <w:pPr>
        <w:pStyle w:val="P68B1DB1-Normal26"/>
        <w:numPr>
          <w:ilvl w:val="0"/>
          <w:numId w:val="19"/>
        </w:numPr>
        <w:shd w:val="clear" w:color="auto" w:fill="FFFFFF"/>
        <w:spacing w:after="120" w:line="240" w:lineRule="auto"/>
      </w:pPr>
      <w:r w:rsidRPr="00E94DC8">
        <w:rPr>
          <w:b/>
        </w:rPr>
        <w:t>Exactitude</w:t>
      </w:r>
      <w:r w:rsidR="005430FB" w:rsidRPr="00E94DC8">
        <w:t xml:space="preserve">: </w:t>
      </w:r>
      <w:r w:rsidR="001A5DC7" w:rsidRPr="00E94DC8">
        <w:t>Proximité des estimations aux valeurs exactes ou réelles que les statistiques étaient censées mesurer</w:t>
      </w:r>
      <w:r w:rsidR="005430FB" w:rsidRPr="00E94DC8">
        <w:t xml:space="preserve">. </w:t>
      </w:r>
    </w:p>
    <w:p w14:paraId="43F5E6C6" w14:textId="1A134FBB" w:rsidR="00CE1364" w:rsidRPr="00E94DC8" w:rsidRDefault="005430FB" w:rsidP="000E0333">
      <w:pPr>
        <w:pStyle w:val="P68B1DB1-Normal26"/>
        <w:numPr>
          <w:ilvl w:val="0"/>
          <w:numId w:val="19"/>
        </w:numPr>
        <w:shd w:val="clear" w:color="auto" w:fill="FFFFFF"/>
        <w:spacing w:after="120" w:line="240" w:lineRule="auto"/>
      </w:pPr>
      <w:r w:rsidRPr="00E94DC8">
        <w:rPr>
          <w:b/>
        </w:rPr>
        <w:t>Accessibilité</w:t>
      </w:r>
      <w:r w:rsidRPr="00E94DC8">
        <w:t xml:space="preserve">: </w:t>
      </w:r>
      <w:r w:rsidR="000E0333" w:rsidRPr="00E94DC8">
        <w:t>Facilité et conditions d’accès des informations statistiques</w:t>
      </w:r>
      <w:r w:rsidRPr="00E94DC8">
        <w:t xml:space="preserve">. </w:t>
      </w:r>
    </w:p>
    <w:p w14:paraId="4BA30A7A" w14:textId="5A887937" w:rsidR="00CE1364" w:rsidRPr="00E94DC8" w:rsidRDefault="005430FB" w:rsidP="0095045A">
      <w:pPr>
        <w:pStyle w:val="P68B1DB1-Normal26"/>
        <w:numPr>
          <w:ilvl w:val="0"/>
          <w:numId w:val="19"/>
        </w:numPr>
        <w:shd w:val="clear" w:color="auto" w:fill="FFFFFF"/>
        <w:spacing w:after="120" w:line="240" w:lineRule="auto"/>
      </w:pPr>
      <w:r w:rsidRPr="00E94DC8">
        <w:rPr>
          <w:b/>
        </w:rPr>
        <w:t>Clarté</w:t>
      </w:r>
      <w:r w:rsidRPr="00E94DC8">
        <w:t xml:space="preserve">: </w:t>
      </w:r>
      <w:r w:rsidR="0095045A" w:rsidRPr="00E94DC8">
        <w:t>Disponibilité de la documentation appropriée relative aux statistiques et assistance supplémentaire que les producteurs mettent à la disposition des utilisateurs</w:t>
      </w:r>
      <w:r w:rsidRPr="00E94DC8">
        <w:t>.</w:t>
      </w:r>
    </w:p>
    <w:p w14:paraId="48D5CE46" w14:textId="487D0665" w:rsidR="00CE1364" w:rsidRPr="00E94DC8" w:rsidRDefault="00F67E40" w:rsidP="0077137B">
      <w:pPr>
        <w:numPr>
          <w:ilvl w:val="0"/>
          <w:numId w:val="19"/>
        </w:numPr>
        <w:shd w:val="clear" w:color="auto" w:fill="FFFFFF"/>
        <w:spacing w:after="120" w:line="240" w:lineRule="auto"/>
        <w:rPr>
          <w:rFonts w:asciiTheme="majorBidi" w:eastAsia="Times New Roman" w:hAnsiTheme="majorBidi" w:cstheme="majorBidi"/>
          <w:color w:val="000000" w:themeColor="text1"/>
          <w:lang w:val="fr-FR"/>
        </w:rPr>
      </w:pPr>
      <w:r w:rsidRPr="00E94DC8">
        <w:rPr>
          <w:rFonts w:asciiTheme="majorBidi" w:eastAsia="Times New Roman" w:hAnsiTheme="majorBidi" w:cstheme="majorBidi"/>
          <w:b/>
          <w:color w:val="000000" w:themeColor="text1"/>
        </w:rPr>
        <w:t>C</w:t>
      </w:r>
      <w:r w:rsidR="00C605F8" w:rsidRPr="00E94DC8">
        <w:rPr>
          <w:rFonts w:asciiTheme="majorBidi" w:eastAsia="Times New Roman" w:hAnsiTheme="majorBidi" w:cstheme="majorBidi"/>
          <w:b/>
          <w:color w:val="000000" w:themeColor="text1"/>
        </w:rPr>
        <w:t>ohérence et homogénéité </w:t>
      </w:r>
      <w:r w:rsidR="005430FB" w:rsidRPr="00E94DC8">
        <w:rPr>
          <w:rFonts w:asciiTheme="majorBidi" w:eastAsia="Times New Roman" w:hAnsiTheme="majorBidi" w:cstheme="majorBidi"/>
          <w:color w:val="000000" w:themeColor="text1"/>
        </w:rPr>
        <w:t xml:space="preserve">: </w:t>
      </w:r>
      <w:r w:rsidR="0077137B" w:rsidRPr="00E94DC8">
        <w:rPr>
          <w:rFonts w:asciiTheme="majorBidi" w:eastAsia="Times New Roman" w:hAnsiTheme="majorBidi" w:cstheme="majorBidi"/>
          <w:color w:val="000000" w:themeColor="text1"/>
        </w:rPr>
        <w:t>Capacité de combiner de manière fiable des statistiques et des ensembles de données de différentes manières et pour différentes utilisations. La cohérence est souvent utilisée comme synonyme d’homogénéité</w:t>
      </w:r>
      <w:r w:rsidR="005430FB" w:rsidRPr="00E94DC8">
        <w:rPr>
          <w:rFonts w:asciiTheme="majorBidi" w:eastAsia="Times New Roman" w:hAnsiTheme="majorBidi" w:cstheme="majorBidi"/>
          <w:color w:val="000000" w:themeColor="text1"/>
        </w:rPr>
        <w:t>.</w:t>
      </w:r>
      <w:r w:rsidR="005430FB" w:rsidRPr="00E94DC8">
        <w:rPr>
          <w:rStyle w:val="FootnoteReference"/>
          <w:rFonts w:asciiTheme="majorBidi" w:eastAsia="Times New Roman" w:hAnsiTheme="majorBidi" w:cstheme="majorBidi"/>
          <w:color w:val="000000" w:themeColor="text1"/>
        </w:rPr>
        <w:footnoteReference w:id="19"/>
      </w:r>
      <w:r w:rsidR="005430FB" w:rsidRPr="00E94DC8">
        <w:rPr>
          <w:rFonts w:asciiTheme="majorBidi" w:eastAsia="Times New Roman" w:hAnsiTheme="majorBidi" w:cstheme="majorBidi"/>
          <w:color w:val="000000" w:themeColor="text1"/>
        </w:rPr>
        <w:t xml:space="preserve"> </w:t>
      </w:r>
    </w:p>
    <w:p w14:paraId="4D57391B" w14:textId="257B8CDB" w:rsidR="00CE1364" w:rsidRPr="00E94DC8" w:rsidRDefault="005430FB" w:rsidP="0040547F">
      <w:pPr>
        <w:pStyle w:val="P68B1DB1-Normal26"/>
        <w:numPr>
          <w:ilvl w:val="0"/>
          <w:numId w:val="19"/>
        </w:numPr>
        <w:shd w:val="clear" w:color="auto" w:fill="FFFFFF"/>
        <w:spacing w:after="120" w:line="240" w:lineRule="auto"/>
      </w:pPr>
      <w:r w:rsidRPr="00E94DC8">
        <w:rPr>
          <w:b/>
        </w:rPr>
        <w:t>Comparabilité</w:t>
      </w:r>
      <w:r w:rsidRPr="00E94DC8">
        <w:t>: </w:t>
      </w:r>
      <w:r w:rsidR="0040547F" w:rsidRPr="00E94DC8">
        <w:t>Mesure dans laquelle les différences entre les statistiques de zones géographiques différentes, de domaines non géographiques ou dans le temps peuvent être attribuées à des différences entre les valeurs réelles des statistiques</w:t>
      </w:r>
      <w:r w:rsidRPr="00E94DC8">
        <w:t>.</w:t>
      </w:r>
    </w:p>
    <w:p w14:paraId="78BEC79C" w14:textId="1C3D403F" w:rsidR="009A579D" w:rsidRPr="00E94DC8" w:rsidRDefault="005430FB" w:rsidP="009A579D">
      <w:pPr>
        <w:pStyle w:val="P68B1DB1-ListParagraph27"/>
        <w:numPr>
          <w:ilvl w:val="0"/>
          <w:numId w:val="19"/>
        </w:numPr>
        <w:spacing w:after="120"/>
        <w:rPr>
          <w:rFonts w:asciiTheme="majorBidi" w:hAnsiTheme="majorBidi" w:cstheme="majorBidi"/>
          <w:lang w:val="fr-FR"/>
        </w:rPr>
      </w:pPr>
      <w:r w:rsidRPr="00E94DC8">
        <w:rPr>
          <w:rFonts w:asciiTheme="majorBidi" w:hAnsiTheme="majorBidi" w:cstheme="majorBidi"/>
          <w:b/>
        </w:rPr>
        <w:t>Exhaustivité et couverture</w:t>
      </w:r>
      <w:r w:rsidRPr="00E94DC8">
        <w:rPr>
          <w:rFonts w:asciiTheme="majorBidi" w:hAnsiTheme="majorBidi" w:cstheme="majorBidi"/>
        </w:rPr>
        <w:t xml:space="preserve">: </w:t>
      </w:r>
      <w:r w:rsidR="009A579D" w:rsidRPr="00E94DC8">
        <w:rPr>
          <w:rFonts w:asciiTheme="majorBidi" w:hAnsiTheme="majorBidi" w:cstheme="majorBidi"/>
          <w:lang w:val="fr-FR"/>
        </w:rPr>
        <w:t xml:space="preserve">L'exhaustivité fait référence à la mesure dans laquelle toutes les statistiques nécessaires sont disponibles. La mesure de la disponibilité des statistiques nécessaires se réfère normalement à des ensembles de données [ensemble d'observations] et compare l'ensemble de données requis à celui disponible. La couverture est la définition </w:t>
      </w:r>
      <w:r w:rsidR="00C371D0" w:rsidRPr="00E94DC8">
        <w:rPr>
          <w:rFonts w:asciiTheme="majorBidi" w:hAnsiTheme="majorBidi" w:cstheme="majorBidi"/>
          <w:lang w:val="fr-FR"/>
        </w:rPr>
        <w:t>du champ d’application</w:t>
      </w:r>
      <w:r w:rsidR="009A579D" w:rsidRPr="00E94DC8">
        <w:rPr>
          <w:rFonts w:asciiTheme="majorBidi" w:hAnsiTheme="majorBidi" w:cstheme="majorBidi"/>
          <w:lang w:val="fr-FR"/>
        </w:rPr>
        <w:t xml:space="preserve"> des données compilées. Cet élément de métadonnées est utilisé pour décrire les dimensions délimitant les statistiques produites, par exemple géographiques, </w:t>
      </w:r>
      <w:r w:rsidR="00C371D0" w:rsidRPr="00E94DC8">
        <w:rPr>
          <w:rFonts w:asciiTheme="majorBidi" w:hAnsiTheme="majorBidi" w:cstheme="majorBidi"/>
          <w:lang w:val="fr-FR"/>
        </w:rPr>
        <w:t xml:space="preserve">les </w:t>
      </w:r>
      <w:r w:rsidR="009A579D" w:rsidRPr="00E94DC8">
        <w:rPr>
          <w:rFonts w:asciiTheme="majorBidi" w:hAnsiTheme="majorBidi" w:cstheme="majorBidi"/>
          <w:lang w:val="fr-FR"/>
        </w:rPr>
        <w:t xml:space="preserve">produits, </w:t>
      </w:r>
      <w:r w:rsidR="00C371D0" w:rsidRPr="00E94DC8">
        <w:rPr>
          <w:rFonts w:asciiTheme="majorBidi" w:hAnsiTheme="majorBidi" w:cstheme="majorBidi"/>
          <w:lang w:val="fr-FR"/>
        </w:rPr>
        <w:t xml:space="preserve">les </w:t>
      </w:r>
      <w:r w:rsidR="009A579D" w:rsidRPr="00E94DC8">
        <w:rPr>
          <w:rFonts w:asciiTheme="majorBidi" w:hAnsiTheme="majorBidi" w:cstheme="majorBidi"/>
          <w:lang w:val="fr-FR"/>
        </w:rPr>
        <w:t xml:space="preserve">secteurs économiques et autres, </w:t>
      </w:r>
      <w:r w:rsidR="00C371D0" w:rsidRPr="00E94DC8">
        <w:rPr>
          <w:rFonts w:asciiTheme="majorBidi" w:hAnsiTheme="majorBidi" w:cstheme="majorBidi"/>
          <w:lang w:val="fr-FR"/>
        </w:rPr>
        <w:t>l’</w:t>
      </w:r>
      <w:r w:rsidR="009A579D" w:rsidRPr="00E94DC8">
        <w:rPr>
          <w:rFonts w:asciiTheme="majorBidi" w:hAnsiTheme="majorBidi" w:cstheme="majorBidi"/>
          <w:lang w:val="fr-FR"/>
        </w:rPr>
        <w:t xml:space="preserve">industrie, </w:t>
      </w:r>
      <w:r w:rsidR="00C371D0" w:rsidRPr="00E94DC8">
        <w:rPr>
          <w:rFonts w:asciiTheme="majorBidi" w:hAnsiTheme="majorBidi" w:cstheme="majorBidi"/>
          <w:lang w:val="fr-FR"/>
        </w:rPr>
        <w:t xml:space="preserve">la </w:t>
      </w:r>
      <w:r w:rsidR="009A579D" w:rsidRPr="00E94DC8">
        <w:rPr>
          <w:rFonts w:asciiTheme="majorBidi" w:hAnsiTheme="majorBidi" w:cstheme="majorBidi"/>
          <w:lang w:val="fr-FR"/>
        </w:rPr>
        <w:t xml:space="preserve">profession, </w:t>
      </w:r>
      <w:r w:rsidR="00C371D0" w:rsidRPr="00E94DC8">
        <w:rPr>
          <w:rFonts w:asciiTheme="majorBidi" w:hAnsiTheme="majorBidi" w:cstheme="majorBidi"/>
          <w:lang w:val="fr-FR"/>
        </w:rPr>
        <w:t xml:space="preserve">les </w:t>
      </w:r>
      <w:r w:rsidR="009A579D" w:rsidRPr="00E94DC8">
        <w:rPr>
          <w:rFonts w:asciiTheme="majorBidi" w:hAnsiTheme="majorBidi" w:cstheme="majorBidi"/>
          <w:lang w:val="fr-FR"/>
        </w:rPr>
        <w:t xml:space="preserve">transactions, </w:t>
      </w:r>
      <w:r w:rsidR="00C371D0" w:rsidRPr="00E94DC8">
        <w:rPr>
          <w:rFonts w:asciiTheme="majorBidi" w:hAnsiTheme="majorBidi" w:cstheme="majorBidi"/>
          <w:lang w:val="fr-FR"/>
        </w:rPr>
        <w:t xml:space="preserve">les </w:t>
      </w:r>
      <w:r w:rsidR="009A579D" w:rsidRPr="00E94DC8">
        <w:rPr>
          <w:rFonts w:asciiTheme="majorBidi" w:hAnsiTheme="majorBidi" w:cstheme="majorBidi"/>
          <w:lang w:val="fr-FR"/>
        </w:rPr>
        <w:t xml:space="preserve">groupes démographiques. etc., ainsi que les exceptions et exclusions pertinentes. Il peut également </w:t>
      </w:r>
      <w:r w:rsidR="00C371D0" w:rsidRPr="00E94DC8">
        <w:rPr>
          <w:rFonts w:asciiTheme="majorBidi" w:hAnsiTheme="majorBidi" w:cstheme="majorBidi"/>
          <w:lang w:val="fr-FR"/>
        </w:rPr>
        <w:t xml:space="preserve">spécifier </w:t>
      </w:r>
      <w:r w:rsidR="009A579D" w:rsidRPr="00E94DC8">
        <w:rPr>
          <w:rFonts w:asciiTheme="majorBidi" w:hAnsiTheme="majorBidi" w:cstheme="majorBidi"/>
          <w:lang w:val="fr-FR"/>
        </w:rPr>
        <w:t xml:space="preserve">la </w:t>
      </w:r>
      <w:r w:rsidR="00C371D0" w:rsidRPr="00E94DC8">
        <w:rPr>
          <w:rFonts w:asciiTheme="majorBidi" w:hAnsiTheme="majorBidi" w:cstheme="majorBidi"/>
          <w:lang w:val="fr-FR"/>
        </w:rPr>
        <w:t xml:space="preserve">période </w:t>
      </w:r>
      <w:r w:rsidR="009A579D" w:rsidRPr="00E94DC8">
        <w:rPr>
          <w:rFonts w:asciiTheme="majorBidi" w:hAnsiTheme="majorBidi" w:cstheme="majorBidi"/>
          <w:lang w:val="fr-FR"/>
        </w:rPr>
        <w:t>pour laquelle les données sont fournies</w:t>
      </w:r>
    </w:p>
    <w:p w14:paraId="774B91C4" w14:textId="62B252A3" w:rsidR="00CE1364" w:rsidRPr="00E94DC8" w:rsidRDefault="005430FB" w:rsidP="0075576F">
      <w:pPr>
        <w:pStyle w:val="P68B1DB1-ListParagraph27"/>
        <w:spacing w:after="120"/>
        <w:rPr>
          <w:rFonts w:asciiTheme="majorBidi" w:hAnsiTheme="majorBidi" w:cstheme="majorBidi"/>
          <w:lang w:val="fr-FR"/>
        </w:rPr>
      </w:pPr>
      <w:r w:rsidRPr="00E94DC8">
        <w:rPr>
          <w:rFonts w:asciiTheme="majorBidi" w:hAnsiTheme="majorBidi" w:cstheme="majorBidi"/>
        </w:rPr>
        <w:t xml:space="preserve">(voir </w:t>
      </w:r>
      <w:r w:rsidR="00C371D0" w:rsidRPr="00E94DC8">
        <w:rPr>
          <w:rFonts w:asciiTheme="majorBidi" w:hAnsiTheme="majorBidi" w:cstheme="majorBidi"/>
        </w:rPr>
        <w:t xml:space="preserve">le </w:t>
      </w:r>
      <w:r w:rsidRPr="00E94DC8">
        <w:rPr>
          <w:rFonts w:asciiTheme="majorBidi" w:hAnsiTheme="majorBidi" w:cstheme="majorBidi"/>
        </w:rPr>
        <w:t>glossaire SDMX — version 2.1 — décembre 2020).</w:t>
      </w:r>
    </w:p>
    <w:p w14:paraId="22276B6B" w14:textId="77777777" w:rsidR="00EE5350" w:rsidRPr="00E94DC8" w:rsidRDefault="00EE5350" w:rsidP="0075576F">
      <w:pPr>
        <w:pStyle w:val="P68B1DB1-ListParagraph27"/>
        <w:spacing w:after="120"/>
        <w:rPr>
          <w:rFonts w:asciiTheme="majorBidi" w:hAnsiTheme="majorBidi" w:cstheme="majorBidi"/>
          <w:lang w:val="fr-FR"/>
        </w:rPr>
      </w:pPr>
    </w:p>
    <w:p w14:paraId="56938D54" w14:textId="24F5A655" w:rsidR="008942FE" w:rsidRPr="00E94DC8" w:rsidRDefault="005430FB" w:rsidP="008942FE">
      <w:pPr>
        <w:pStyle w:val="P68B1DB1-ListParagraph27"/>
        <w:numPr>
          <w:ilvl w:val="0"/>
          <w:numId w:val="19"/>
        </w:numPr>
        <w:spacing w:after="120"/>
        <w:rPr>
          <w:lang w:val="fr-FR"/>
        </w:rPr>
      </w:pPr>
      <w:r w:rsidRPr="00E94DC8">
        <w:rPr>
          <w:rFonts w:asciiTheme="majorBidi" w:hAnsiTheme="majorBidi" w:cstheme="majorBidi"/>
          <w:b/>
        </w:rPr>
        <w:t>Confidentialité et vie privée</w:t>
      </w:r>
      <w:r w:rsidRPr="00E94DC8">
        <w:rPr>
          <w:rFonts w:asciiTheme="majorBidi" w:hAnsiTheme="majorBidi" w:cstheme="majorBidi"/>
        </w:rPr>
        <w:t xml:space="preserve">: </w:t>
      </w:r>
      <w:r w:rsidR="008942FE" w:rsidRPr="00E94DC8">
        <w:rPr>
          <w:lang w:val="fr-FR"/>
        </w:rPr>
        <w:t xml:space="preserve">propriété des données indiquant si elles font l'objet de restrictions de diffusion. Les données sont protégées par la confidentialité dans les cas où une divulgation non autorisée pourrait être préjudiciable ou </w:t>
      </w:r>
      <w:r w:rsidR="00C371D0" w:rsidRPr="00E94DC8">
        <w:rPr>
          <w:lang w:val="fr-FR"/>
        </w:rPr>
        <w:t xml:space="preserve">dommageable </w:t>
      </w:r>
      <w:r w:rsidR="008942FE" w:rsidRPr="00E94DC8">
        <w:rPr>
          <w:lang w:val="fr-FR"/>
        </w:rPr>
        <w:t>aux intérêts de la source ou d'autres parties concernées. Par exemple, les données permettant l’identification d’une personne physique ou morale, directement ou indirectement, peuvent être qualifiées de confidentielles selon la législation nationale ou internationale applicable (voir pour plus de détails</w:t>
      </w:r>
      <w:r w:rsidR="00550049" w:rsidRPr="00E94DC8">
        <w:rPr>
          <w:lang w:val="fr-FR"/>
        </w:rPr>
        <w:t xml:space="preserve">, le </w:t>
      </w:r>
      <w:r w:rsidR="008942FE" w:rsidRPr="00E94DC8">
        <w:rPr>
          <w:lang w:val="fr-FR"/>
        </w:rPr>
        <w:t xml:space="preserve">Glossaire SDMX – Version 2.1 – Décembre 2020). Les données confidentielles désignent les données qui permettent </w:t>
      </w:r>
      <w:r w:rsidR="008942FE" w:rsidRPr="00E94DC8">
        <w:rPr>
          <w:lang w:val="fr-FR"/>
        </w:rPr>
        <w:lastRenderedPageBreak/>
        <w:t xml:space="preserve">d'identifier des unités statistiques individuelles, directement ou indirectement, divulguant ainsi des informations individuelles. Pour déterminer si une unité statistique est identifiable, il </w:t>
      </w:r>
      <w:r w:rsidR="00550049" w:rsidRPr="00E94DC8">
        <w:rPr>
          <w:lang w:val="fr-FR"/>
        </w:rPr>
        <w:t xml:space="preserve">convient de tenir </w:t>
      </w:r>
      <w:r w:rsidR="008942FE" w:rsidRPr="00E94DC8">
        <w:rPr>
          <w:lang w:val="fr-FR"/>
        </w:rPr>
        <w:t xml:space="preserve">compte de tous les moyens pertinents qui pourraient raisonnablement être utilisés par un tiers pour identifier l'unité statistique (voir le manuel du système statistique européen pour les rapports sur la qualité et les métadonnées, édition 2020). La vie privée est l’état </w:t>
      </w:r>
      <w:r w:rsidR="00550049" w:rsidRPr="00E94DC8">
        <w:rPr>
          <w:lang w:val="fr-FR"/>
        </w:rPr>
        <w:t xml:space="preserve">d’une personne </w:t>
      </w:r>
      <w:r w:rsidR="008942FE" w:rsidRPr="00E94DC8">
        <w:rPr>
          <w:lang w:val="fr-FR"/>
        </w:rPr>
        <w:t>non surveillé ou dérangé par d’autres personnes (Oxford Dictionary).</w:t>
      </w:r>
    </w:p>
    <w:p w14:paraId="158739CF" w14:textId="0B8B973A" w:rsidR="007A77E9" w:rsidRPr="00E94DC8" w:rsidRDefault="007A77E9" w:rsidP="007A77E9">
      <w:pPr>
        <w:pStyle w:val="P68B1DB1-Normal26"/>
        <w:numPr>
          <w:ilvl w:val="0"/>
          <w:numId w:val="19"/>
        </w:numPr>
        <w:shd w:val="clear" w:color="auto" w:fill="FFFFFF"/>
        <w:spacing w:after="120" w:line="240" w:lineRule="auto"/>
        <w:rPr>
          <w:b/>
          <w:lang w:val="fr-FR"/>
        </w:rPr>
      </w:pPr>
      <w:r w:rsidRPr="00E94DC8">
        <w:rPr>
          <w:b/>
          <w:lang w:val="fr-FR"/>
        </w:rPr>
        <w:t xml:space="preserve">Intégrabilité / Liaison : </w:t>
      </w:r>
      <w:r w:rsidRPr="00E94DC8">
        <w:rPr>
          <w:bCs/>
          <w:lang w:val="fr-FR"/>
        </w:rPr>
        <w:t>la facilité avec laquelle les données de la source peuvent être intégrées dans le système de production statistique. Pour les unités statistiques (objets), il s'agit de la comparabilité et de la facilité de relier les unités de la source à celles couramment utilisées par les organismes statistiques. Pour les variables, il s'agit de la proximité des valeurs de la source avec les faits de variables similaires (voir Daas P, Ossen S., BLUE-ETS (2011).</w:t>
      </w:r>
    </w:p>
    <w:p w14:paraId="05C61C64" w14:textId="7B112599" w:rsidR="00CE1364" w:rsidRPr="00E94DC8" w:rsidRDefault="005430FB" w:rsidP="000520E4">
      <w:pPr>
        <w:pStyle w:val="P68B1DB1-Normal26"/>
        <w:numPr>
          <w:ilvl w:val="0"/>
          <w:numId w:val="19"/>
        </w:numPr>
        <w:shd w:val="clear" w:color="auto" w:fill="FFFFFF"/>
        <w:spacing w:after="120" w:line="240" w:lineRule="auto"/>
      </w:pPr>
      <w:r w:rsidRPr="00E94DC8">
        <w:rPr>
          <w:b/>
        </w:rPr>
        <w:t>Pertinence</w:t>
      </w:r>
      <w:r w:rsidRPr="00E94DC8">
        <w:t xml:space="preserve">: </w:t>
      </w:r>
      <w:r w:rsidR="000520E4" w:rsidRPr="00E94DC8">
        <w:t>Mesure dans laquelle les statistiques répondent aux besoins des utilisateurs</w:t>
      </w:r>
      <w:r w:rsidRPr="00E94DC8">
        <w:t>.</w:t>
      </w:r>
    </w:p>
    <w:p w14:paraId="1C3BE8FE" w14:textId="720B4F8E" w:rsidR="00CE1364" w:rsidRPr="00E94DC8" w:rsidRDefault="005430FB" w:rsidP="00E7628B">
      <w:pPr>
        <w:pStyle w:val="P68B1DB1-Normal26"/>
        <w:numPr>
          <w:ilvl w:val="0"/>
          <w:numId w:val="19"/>
        </w:numPr>
        <w:shd w:val="clear" w:color="auto" w:fill="FFFFFF"/>
        <w:spacing w:after="120" w:line="240" w:lineRule="auto"/>
      </w:pPr>
      <w:r w:rsidRPr="00E94DC8">
        <w:rPr>
          <w:b/>
        </w:rPr>
        <w:t>Fiabilité</w:t>
      </w:r>
      <w:r w:rsidRPr="00E94DC8">
        <w:t xml:space="preserve">: </w:t>
      </w:r>
      <w:r w:rsidR="00E7628B" w:rsidRPr="00E94DC8">
        <w:t>Proximité de la (des) valeur(s) initialement estimée(s) avec la (les) valeur(s) estimée(s) ultérieurement si des chiffres préliminaires sont diffusés</w:t>
      </w:r>
      <w:r w:rsidRPr="00E94DC8">
        <w:t xml:space="preserve">. </w:t>
      </w:r>
    </w:p>
    <w:p w14:paraId="07360460" w14:textId="7C0E85DD" w:rsidR="00CE1364" w:rsidRPr="00E94DC8" w:rsidRDefault="009A01C6" w:rsidP="009A01C6">
      <w:pPr>
        <w:pStyle w:val="P68B1DB1-Normal26"/>
        <w:numPr>
          <w:ilvl w:val="0"/>
          <w:numId w:val="19"/>
        </w:numPr>
        <w:shd w:val="clear" w:color="auto" w:fill="FFFFFF"/>
        <w:spacing w:after="120" w:line="240" w:lineRule="auto"/>
      </w:pPr>
      <w:r w:rsidRPr="00E94DC8">
        <w:rPr>
          <w:b/>
        </w:rPr>
        <w:t>Actualité</w:t>
      </w:r>
      <w:r w:rsidRPr="00E94DC8">
        <w:rPr>
          <w:bCs/>
        </w:rPr>
        <w:t> : Délai entre la fin d’une période de référence (ou date) et la diffusion des statistiques</w:t>
      </w:r>
      <w:r w:rsidR="00BA15A9" w:rsidRPr="00E94DC8">
        <w:t>.</w:t>
      </w:r>
    </w:p>
    <w:p w14:paraId="01F6B4D3" w14:textId="5D1FBE6C" w:rsidR="00CE1364" w:rsidRPr="00E94DC8" w:rsidRDefault="00090024" w:rsidP="00090024">
      <w:pPr>
        <w:pStyle w:val="P68B1DB1-Normal26"/>
        <w:numPr>
          <w:ilvl w:val="0"/>
          <w:numId w:val="19"/>
        </w:numPr>
        <w:shd w:val="clear" w:color="auto" w:fill="FFFFFF"/>
        <w:spacing w:after="120" w:line="240" w:lineRule="auto"/>
      </w:pPr>
      <w:r w:rsidRPr="00E94DC8">
        <w:rPr>
          <w:b/>
        </w:rPr>
        <w:t>Ponctualité</w:t>
      </w:r>
      <w:r w:rsidRPr="00E94DC8">
        <w:rPr>
          <w:bCs/>
        </w:rPr>
        <w:t>: Délai entre la date de publication et la date cible à laquelle les données ou statistiques auraient dû être fournies</w:t>
      </w:r>
      <w:r w:rsidR="005430FB" w:rsidRPr="00E94DC8">
        <w:t>.</w:t>
      </w:r>
    </w:p>
    <w:p w14:paraId="7083BA3F" w14:textId="50D3EB2C" w:rsidR="00CE1364" w:rsidRPr="00E94DC8" w:rsidRDefault="005430FB">
      <w:pPr>
        <w:pStyle w:val="P68B1DB1-Normal25"/>
        <w:keepNext/>
        <w:keepLines/>
        <w:spacing w:line="240" w:lineRule="auto"/>
      </w:pPr>
      <w:r w:rsidRPr="00E94DC8">
        <w:t>Conditions générales</w:t>
      </w:r>
    </w:p>
    <w:p w14:paraId="5B60B4E3" w14:textId="13CF6DDF" w:rsidR="00CE1364" w:rsidRPr="00E94DC8" w:rsidRDefault="005430FB" w:rsidP="00E70004">
      <w:pPr>
        <w:pStyle w:val="P68B1DB1-Normal26"/>
        <w:keepNext/>
        <w:keepLines/>
        <w:numPr>
          <w:ilvl w:val="0"/>
          <w:numId w:val="19"/>
        </w:numPr>
        <w:shd w:val="clear" w:color="auto" w:fill="FFFFFF"/>
        <w:spacing w:after="120" w:line="240" w:lineRule="auto"/>
      </w:pPr>
      <w:r w:rsidRPr="00E94DC8">
        <w:rPr>
          <w:b/>
        </w:rPr>
        <w:t>Fournisseurs de données et producteurs de statistiques</w:t>
      </w:r>
      <w:r w:rsidRPr="00E94DC8">
        <w:t xml:space="preserve">: </w:t>
      </w:r>
      <w:r w:rsidR="00E70004" w:rsidRPr="00E94DC8">
        <w:t>Ce Manuel fait la distinction entre les fournisseurs de données, qui contribuent au processus de production de statistiques (tels que les répondants et les détenteurs ou propriétaires de données statistiques, administratives ou autres), et les producteurs de statistiques, qui produisent un résultat statistique. Selon le contexte, le terme fournisseur de données ne s’entend dans ce Manuel que des détenteurs ou propriétaires de donnée</w:t>
      </w:r>
      <w:r w:rsidRPr="00E94DC8">
        <w:t>.</w:t>
      </w:r>
    </w:p>
    <w:p w14:paraId="71ED35EB" w14:textId="6077976A" w:rsidR="00CE1364" w:rsidRPr="00E94DC8" w:rsidRDefault="005430FB" w:rsidP="00BB20EC">
      <w:pPr>
        <w:pStyle w:val="P68B1DB1-ListParagraph28"/>
        <w:numPr>
          <w:ilvl w:val="0"/>
          <w:numId w:val="19"/>
        </w:numPr>
        <w:shd w:val="clear" w:color="auto" w:fill="FFFFFF"/>
        <w:spacing w:after="120"/>
        <w:contextualSpacing w:val="0"/>
      </w:pPr>
      <w:r w:rsidRPr="00E94DC8">
        <w:rPr>
          <w:b/>
        </w:rPr>
        <w:t>Sources de données</w:t>
      </w:r>
      <w:r w:rsidRPr="00E94DC8">
        <w:t xml:space="preserve">: </w:t>
      </w:r>
      <w:r w:rsidR="00BB20EC" w:rsidRPr="00E94DC8">
        <w:t>Ce Manuel distingue trois sources de données en fonction de leur objectif et de l’entité responsable de leur compilation : les sources de données statistiques, telles que les enquêtes; les sources de données administratives; et autres sources de données. En général, les autres sources de données incluent celles qui sont associées à l’expression « mégadonnées », à moins qu’elles soient déjà incluses, dans certains cas, dans des sources de données statistiques ou administratives. Les nouvelles sources de données peuvent souvent être associées à d’autres sources de données. Cependant, elles peuvent également être considérées comme faisant partie de sources de données statistiques ou administratives, en fonction de la situation nationale</w:t>
      </w:r>
      <w:r w:rsidRPr="00E94DC8">
        <w:t xml:space="preserve">. </w:t>
      </w:r>
    </w:p>
    <w:p w14:paraId="22A07988" w14:textId="7EFAC3BF" w:rsidR="00CE1364" w:rsidRPr="00E94DC8" w:rsidRDefault="005430FB" w:rsidP="00EF46E9">
      <w:pPr>
        <w:pStyle w:val="P68B1DB1-ListParagraph27"/>
        <w:numPr>
          <w:ilvl w:val="0"/>
          <w:numId w:val="19"/>
        </w:numPr>
        <w:spacing w:after="120"/>
        <w:rPr>
          <w:rFonts w:asciiTheme="majorBidi" w:hAnsiTheme="majorBidi" w:cstheme="majorBidi"/>
          <w:lang w:val="fr-FR"/>
        </w:rPr>
      </w:pPr>
      <w:r w:rsidRPr="00E94DC8">
        <w:rPr>
          <w:rFonts w:asciiTheme="majorBidi" w:hAnsiTheme="majorBidi" w:cstheme="majorBidi"/>
          <w:b/>
        </w:rPr>
        <w:t>Ensemble de données, structure des données, observations, unités et variables</w:t>
      </w:r>
      <w:r w:rsidRPr="00E94DC8">
        <w:rPr>
          <w:rFonts w:asciiTheme="majorBidi" w:hAnsiTheme="majorBidi" w:cstheme="majorBidi"/>
        </w:rPr>
        <w:t xml:space="preserve">: </w:t>
      </w:r>
      <w:r w:rsidR="00EF46E9" w:rsidRPr="00E94DC8">
        <w:rPr>
          <w:rFonts w:asciiTheme="majorBidi" w:hAnsiTheme="majorBidi" w:cstheme="majorBidi"/>
          <w:lang w:val="fr-FR"/>
        </w:rPr>
        <w:t>un ensemble de données fait référence à une collection organisée d'observations qui partagent la même structure de données (dimensions, attributs et mesures). Les observations peuvent également être appelées « enregistrements » ou « enregistrements de données ». Les observations contiennent des informations sur l'unité ou l'objet d</w:t>
      </w:r>
      <w:r w:rsidR="00550049" w:rsidRPr="00E94DC8">
        <w:rPr>
          <w:rFonts w:asciiTheme="majorBidi" w:hAnsiTheme="majorBidi" w:cstheme="majorBidi"/>
          <w:lang w:val="fr-FR"/>
        </w:rPr>
        <w:t>e l</w:t>
      </w:r>
      <w:r w:rsidR="00EF46E9" w:rsidRPr="00E94DC8">
        <w:rPr>
          <w:rFonts w:asciiTheme="majorBidi" w:hAnsiTheme="majorBidi" w:cstheme="majorBidi"/>
          <w:lang w:val="fr-FR"/>
        </w:rPr>
        <w:t xml:space="preserve">'observation qui peut être une personne, un ménage, une entreprise, un emplacement, une transaction, etc. Une variable est une caractéristique d'une unité observée qui peut prendre plus d'un ensemble de valeurs (internes). définition </w:t>
      </w:r>
      <w:r w:rsidR="00550049" w:rsidRPr="00E94DC8">
        <w:rPr>
          <w:rFonts w:asciiTheme="majorBidi" w:hAnsiTheme="majorBidi" w:cstheme="majorBidi"/>
          <w:lang w:val="fr-FR"/>
        </w:rPr>
        <w:t xml:space="preserve">interne </w:t>
      </w:r>
      <w:r w:rsidR="00EF46E9" w:rsidRPr="00E94DC8">
        <w:rPr>
          <w:rFonts w:asciiTheme="majorBidi" w:hAnsiTheme="majorBidi" w:cstheme="majorBidi"/>
          <w:lang w:val="fr-FR"/>
        </w:rPr>
        <w:t>partiellement basée sur le glossaire SDMX – Version 2.1 – décembre 2020).</w:t>
      </w:r>
    </w:p>
    <w:p w14:paraId="47A33B20" w14:textId="290EAE6F" w:rsidR="00CE1364" w:rsidRPr="00E94DC8" w:rsidRDefault="005430FB" w:rsidP="003C322A">
      <w:pPr>
        <w:pStyle w:val="P68B1DB1-ListParagraph28"/>
        <w:numPr>
          <w:ilvl w:val="0"/>
          <w:numId w:val="19"/>
        </w:numPr>
        <w:spacing w:after="120"/>
        <w:rPr>
          <w:lang w:val="fr-FR"/>
        </w:rPr>
      </w:pPr>
      <w:r w:rsidRPr="00E94DC8">
        <w:rPr>
          <w:b/>
        </w:rPr>
        <w:t>Données d’entrée et données sources</w:t>
      </w:r>
      <w:r w:rsidRPr="00E94DC8">
        <w:t xml:space="preserve">: </w:t>
      </w:r>
      <w:r w:rsidR="003C322A" w:rsidRPr="00E94DC8">
        <w:rPr>
          <w:lang w:val="fr-FR"/>
        </w:rPr>
        <w:t>fait référence aux données utilisées dans le processus de production statistique. Dans le contexte de ce module, les données d'entrée et les données sources ont la même signification (définition de travail interne)</w:t>
      </w:r>
      <w:r w:rsidRPr="00E94DC8">
        <w:t xml:space="preserve">. </w:t>
      </w:r>
    </w:p>
    <w:p w14:paraId="4CAB2116" w14:textId="733810A9" w:rsidR="00CE1364" w:rsidRPr="00E94DC8" w:rsidRDefault="005430FB" w:rsidP="00A42820">
      <w:pPr>
        <w:pStyle w:val="ListParagraph"/>
        <w:numPr>
          <w:ilvl w:val="0"/>
          <w:numId w:val="19"/>
        </w:numPr>
        <w:spacing w:after="120" w:line="280" w:lineRule="atLeast"/>
        <w:contextualSpacing w:val="0"/>
        <w:rPr>
          <w:rFonts w:asciiTheme="majorBidi" w:hAnsiTheme="majorBidi" w:cstheme="majorBidi"/>
          <w:color w:val="000000" w:themeColor="text1"/>
          <w:sz w:val="22"/>
        </w:rPr>
      </w:pPr>
      <w:r w:rsidRPr="00E94DC8">
        <w:rPr>
          <w:rStyle w:val="recommendation-title"/>
          <w:rFonts w:asciiTheme="majorBidi" w:hAnsiTheme="majorBidi" w:cstheme="majorBidi"/>
          <w:b/>
          <w:color w:val="000000" w:themeColor="text1"/>
          <w:sz w:val="22"/>
          <w:shd w:val="clear" w:color="auto" w:fill="FFFFFF"/>
        </w:rPr>
        <w:t>Métadonnées</w:t>
      </w:r>
      <w:r w:rsidRPr="00E94DC8">
        <w:rPr>
          <w:rStyle w:val="recommendation-title"/>
          <w:rFonts w:asciiTheme="majorBidi" w:hAnsiTheme="majorBidi" w:cstheme="majorBidi"/>
          <w:color w:val="000000" w:themeColor="text1"/>
          <w:sz w:val="22"/>
          <w:shd w:val="clear" w:color="auto" w:fill="FFFFFF"/>
        </w:rPr>
        <w:t>: </w:t>
      </w:r>
      <w:r w:rsidR="00A42820" w:rsidRPr="00E94DC8">
        <w:rPr>
          <w:rFonts w:asciiTheme="majorBidi" w:hAnsiTheme="majorBidi" w:cstheme="majorBidi"/>
          <w:color w:val="000000" w:themeColor="text1"/>
          <w:sz w:val="22"/>
        </w:rPr>
        <w:t xml:space="preserve">Données qui définissent et décrivent d’autres données. On peut faire la distinction entre métadonnées structurelles et métadonnées de référence. Les métadonnées structurelles </w:t>
      </w:r>
      <w:r w:rsidR="00A42820" w:rsidRPr="00E94DC8">
        <w:rPr>
          <w:rFonts w:asciiTheme="majorBidi" w:hAnsiTheme="majorBidi" w:cstheme="majorBidi"/>
          <w:color w:val="000000" w:themeColor="text1"/>
          <w:sz w:val="22"/>
        </w:rPr>
        <w:lastRenderedPageBreak/>
        <w:t>définissent et accompagnent les données. Elles sont constituées des identificateurs et descripteurs nécessaires pour la manipulation, l’organisation, la récupération et le traitement d’un ensemble de données statistiques (titres, sous-titres, brèves descriptions, noms de dimension, noms de variables, etc.). Les métadonnées de référence sont plus générales et décrivent les concepts et méthodologies statistiques utilisés pour la collecte et la production de données. Elles fournissent des informations sur la qualité des données, aidant ainsi les utilisateurs à interpréter ces dernières. Contrairement aux métadonnées structurelles, les métadonnées de référence peuvent être découplées des données (c’est-à-dire qu’elles peuvent être générées, collectées ou diffusées séparément des statistiques auxquelles elles se rapportent)</w:t>
      </w:r>
      <w:r w:rsidRPr="00E94DC8">
        <w:rPr>
          <w:rFonts w:asciiTheme="majorBidi" w:hAnsiTheme="majorBidi" w:cstheme="majorBidi"/>
          <w:color w:val="000000" w:themeColor="text1"/>
          <w:sz w:val="22"/>
        </w:rPr>
        <w:t>.</w:t>
      </w:r>
    </w:p>
    <w:p w14:paraId="4B391739" w14:textId="288225FF" w:rsidR="00CE1364" w:rsidRPr="00E94DC8" w:rsidRDefault="005430FB" w:rsidP="000E4AB6">
      <w:pPr>
        <w:pStyle w:val="P68B1DB1-ListParagraph28"/>
        <w:numPr>
          <w:ilvl w:val="0"/>
          <w:numId w:val="19"/>
        </w:numPr>
        <w:spacing w:after="120" w:line="280" w:lineRule="atLeast"/>
        <w:contextualSpacing w:val="0"/>
      </w:pPr>
      <w:r w:rsidRPr="00E94DC8">
        <w:rPr>
          <w:b/>
        </w:rPr>
        <w:t>Cadre national d’assurance de la qualité (</w:t>
      </w:r>
      <w:r w:rsidR="000E4AB6" w:rsidRPr="00E94DC8">
        <w:rPr>
          <w:b/>
        </w:rPr>
        <w:t>CNAQ</w:t>
      </w:r>
      <w:r w:rsidRPr="00E94DC8">
        <w:rPr>
          <w:b/>
        </w:rPr>
        <w:t>)</w:t>
      </w:r>
      <w:r w:rsidRPr="00E94DC8">
        <w:t xml:space="preserve">: </w:t>
      </w:r>
      <w:r w:rsidR="000E4AB6" w:rsidRPr="00E94DC8">
        <w:t>Système cohérent et global de gestion de la qualité statistique qui assure la confiance et la qualité des statistiques officielles</w:t>
      </w:r>
      <w:r w:rsidRPr="00E94DC8">
        <w:t>.</w:t>
      </w:r>
    </w:p>
    <w:p w14:paraId="4132AD4C" w14:textId="1E7616DA" w:rsidR="00CE1364" w:rsidRPr="00E94DC8" w:rsidRDefault="00222A02" w:rsidP="00222A02">
      <w:pPr>
        <w:pStyle w:val="P68B1DB1-ListParagraph28"/>
        <w:numPr>
          <w:ilvl w:val="0"/>
          <w:numId w:val="19"/>
        </w:numPr>
        <w:spacing w:after="120" w:line="280" w:lineRule="atLeast"/>
        <w:contextualSpacing w:val="0"/>
      </w:pPr>
      <w:r w:rsidRPr="00E94DC8">
        <w:rPr>
          <w:b/>
        </w:rPr>
        <w:t>Institut</w:t>
      </w:r>
      <w:r w:rsidR="005430FB" w:rsidRPr="00E94DC8">
        <w:rPr>
          <w:b/>
        </w:rPr>
        <w:t xml:space="preserve"> national de statistique (</w:t>
      </w:r>
      <w:r w:rsidRPr="00E94DC8">
        <w:rPr>
          <w:b/>
        </w:rPr>
        <w:t>I</w:t>
      </w:r>
      <w:r w:rsidR="005430FB" w:rsidRPr="00E94DC8">
        <w:rPr>
          <w:b/>
        </w:rPr>
        <w:t>NS)</w:t>
      </w:r>
      <w:r w:rsidR="005430FB" w:rsidRPr="00E94DC8">
        <w:t xml:space="preserve">: </w:t>
      </w:r>
      <w:r w:rsidR="00373D54" w:rsidRPr="00E94DC8">
        <w:t>Premier organisme statistique au sein d’un système statistique national. Les expressions office national de la statistique et institut national de la statistique sont synonymes. En général, l’INS assume un rôle de coordination au sein du système statistique national et est responsable du développement, de la production et de la diffusion des statistiques officielles dans de multiples domaines statistiques</w:t>
      </w:r>
      <w:r w:rsidR="005430FB" w:rsidRPr="00E94DC8">
        <w:t>.</w:t>
      </w:r>
    </w:p>
    <w:p w14:paraId="502F1A6B" w14:textId="17B6B697" w:rsidR="00CE1364" w:rsidRPr="00E94DC8" w:rsidRDefault="005430FB" w:rsidP="00D601DA">
      <w:pPr>
        <w:pStyle w:val="P68B1DB1-ListParagraph28"/>
        <w:numPr>
          <w:ilvl w:val="0"/>
          <w:numId w:val="19"/>
        </w:numPr>
        <w:spacing w:after="120" w:line="280" w:lineRule="atLeast"/>
        <w:contextualSpacing w:val="0"/>
      </w:pPr>
      <w:r w:rsidRPr="00E94DC8">
        <w:rPr>
          <w:b/>
        </w:rPr>
        <w:t>Système statistique national (</w:t>
      </w:r>
      <w:r w:rsidR="00956791" w:rsidRPr="00E94DC8">
        <w:rPr>
          <w:b/>
        </w:rPr>
        <w:t>SSN</w:t>
      </w:r>
      <w:r w:rsidRPr="00E94DC8">
        <w:rPr>
          <w:b/>
        </w:rPr>
        <w:t>)</w:t>
      </w:r>
      <w:r w:rsidRPr="00E94DC8">
        <w:t xml:space="preserve">: </w:t>
      </w:r>
      <w:r w:rsidR="00D601DA" w:rsidRPr="00E94DC8">
        <w:t>Ensemble des organismes et unités statistiques (organismes statistiques) d’un pays qui développent, produisent et diffusent des statistiques officielles pour le compte du gouvernement national (et d’autres niveaux de gouvernement). Il incombe à chaque pays de définir la portée de son SSN (voir aussi organismes statistiques, fournisseurs de données et producteurs de statistiques et écosystème de données).</w:t>
      </w:r>
    </w:p>
    <w:p w14:paraId="638D87E5" w14:textId="5F591AE2" w:rsidR="00CE1364" w:rsidRPr="00E94DC8" w:rsidRDefault="005430FB" w:rsidP="00743FF1">
      <w:pPr>
        <w:pStyle w:val="P68B1DB1-Normal26"/>
        <w:numPr>
          <w:ilvl w:val="0"/>
          <w:numId w:val="19"/>
        </w:numPr>
        <w:shd w:val="clear" w:color="auto" w:fill="FFFFFF"/>
        <w:spacing w:after="120" w:line="240" w:lineRule="auto"/>
      </w:pPr>
      <w:r w:rsidRPr="00E94DC8">
        <w:rPr>
          <w:b/>
        </w:rPr>
        <w:t>Statistiques officielles</w:t>
      </w:r>
      <w:r w:rsidRPr="00E94DC8">
        <w:t xml:space="preserve">: </w:t>
      </w:r>
      <w:r w:rsidR="00743FF1" w:rsidRPr="00E94DC8">
        <w:t>Statistiques décrivant, de manière représentative, les phénomènes économiques, démographiques, sociaux et environnementaux d’intérêt public. Les statistiques officielles sont développées, produites et diffusées en tant que bien public par les membres du SSN, conformément aux Principes fondamentaux de la statistique officielle et aux cadres de qualité acceptés tels que le CNAQ des Nations Unies, ainsi que d’autres normes et recommandations statistiques reconnues au plan international. Dans de nombreux pays, les statistiques officielles sont définies et décrites dans les programmes statistiques</w:t>
      </w:r>
      <w:r w:rsidRPr="00E94DC8">
        <w:t>.</w:t>
      </w:r>
    </w:p>
    <w:p w14:paraId="0EFEAB13" w14:textId="77EFF999" w:rsidR="00CE1364" w:rsidRPr="00E94DC8" w:rsidRDefault="005430FB" w:rsidP="00364C6E">
      <w:pPr>
        <w:pStyle w:val="P68B1DB1-Normal26"/>
        <w:numPr>
          <w:ilvl w:val="0"/>
          <w:numId w:val="19"/>
        </w:numPr>
        <w:shd w:val="clear" w:color="auto" w:fill="FFFFFF"/>
        <w:spacing w:after="120" w:line="240" w:lineRule="auto"/>
        <w:rPr>
          <w:lang w:val="fr-FR"/>
        </w:rPr>
      </w:pPr>
      <w:r w:rsidRPr="00E94DC8">
        <w:rPr>
          <w:b/>
        </w:rPr>
        <w:t>Rapport qualité</w:t>
      </w:r>
      <w:r w:rsidRPr="00E94DC8">
        <w:t xml:space="preserve">: </w:t>
      </w:r>
      <w:r w:rsidR="00364C6E" w:rsidRPr="00E94DC8">
        <w:rPr>
          <w:lang w:val="fr-FR"/>
        </w:rPr>
        <w:t>une manière typique d’enregistrer les résultats d’une évaluation de la qualité. On peut distinguer un rapport orienté</w:t>
      </w:r>
      <w:r w:rsidR="00F43C27" w:rsidRPr="00E94DC8">
        <w:rPr>
          <w:lang w:val="fr-FR"/>
        </w:rPr>
        <w:t xml:space="preserve"> vers</w:t>
      </w:r>
      <w:r w:rsidR="00364C6E" w:rsidRPr="00E94DC8">
        <w:rPr>
          <w:lang w:val="fr-FR"/>
        </w:rPr>
        <w:t xml:space="preserve"> </w:t>
      </w:r>
      <w:r w:rsidR="00550049" w:rsidRPr="00E94DC8">
        <w:rPr>
          <w:lang w:val="fr-FR"/>
        </w:rPr>
        <w:t xml:space="preserve">le </w:t>
      </w:r>
      <w:r w:rsidR="00364C6E" w:rsidRPr="00E94DC8">
        <w:rPr>
          <w:lang w:val="fr-FR"/>
        </w:rPr>
        <w:t xml:space="preserve">producteur comprenant des métadonnées pour enregistrer les problèmes de qualité et les améliorations par rapport à un rapport orienté utilisateur comprenant des métadonnées destinées aux utilisateurs des produits statistiques, leur permettant d'évaluer si les produits sont appropriés aux </w:t>
      </w:r>
      <w:r w:rsidR="00F43C27" w:rsidRPr="00E94DC8">
        <w:rPr>
          <w:lang w:val="fr-FR"/>
        </w:rPr>
        <w:t>objectifs fixés</w:t>
      </w:r>
      <w:r w:rsidR="00364C6E" w:rsidRPr="00E94DC8">
        <w:rPr>
          <w:lang w:val="fr-FR"/>
        </w:rPr>
        <w:t>. (voir le manuel du système statistique européen pour les rapports sur la qualité et les métadonnées, édition 2020).</w:t>
      </w:r>
    </w:p>
    <w:p w14:paraId="18CB28A7" w14:textId="5B3646FC" w:rsidR="00CE1364" w:rsidRPr="00E94DC8" w:rsidRDefault="00671562" w:rsidP="00671562">
      <w:pPr>
        <w:pStyle w:val="P68B1DB1-Normal26"/>
        <w:numPr>
          <w:ilvl w:val="0"/>
          <w:numId w:val="19"/>
        </w:numPr>
        <w:shd w:val="clear" w:color="auto" w:fill="FFFFFF"/>
        <w:spacing w:after="120" w:line="240" w:lineRule="auto"/>
      </w:pPr>
      <w:r w:rsidRPr="00E94DC8">
        <w:rPr>
          <w:b/>
        </w:rPr>
        <w:t>Organismes</w:t>
      </w:r>
      <w:r w:rsidR="005430FB" w:rsidRPr="00E94DC8">
        <w:rPr>
          <w:b/>
        </w:rPr>
        <w:t xml:space="preserve"> statistiques</w:t>
      </w:r>
      <w:r w:rsidR="005430FB" w:rsidRPr="00E94DC8">
        <w:t xml:space="preserve">: </w:t>
      </w:r>
      <w:r w:rsidR="00395520" w:rsidRPr="00E94DC8">
        <w:t>Les membres du SSN sont appelés « organismes statistiques » et englobent l’INS et autres producteurs de statistiques officielles. Les organismes statistiques autres que l’INS n’ont généralement pas pour principal objectif ou tâche de produire des statistiques officielles et seule une section ou un petit groupe de personnes y produisent des statistiques. Les exigences de qualité pour les processus et la production sont les mêmes pour toutes les statistiques officielles. Toutefois, pour un ministère ou un organe administratif dont une partie seulement produit des statistiques, les exigences liées à l’environnement institutionnel s’appliquent uniquement à l’entité qui produit des statistiques officielles. Par exemple, bien que le ministère ou l’organe administratif ne soit généralement pas indépendant, l’unité au sein des ministères/organes administratifs responsable de la production de statistiques devrait décider de manière indépendante de la manière de produire des statistiques et du calendrier de leur diffusion</w:t>
      </w:r>
    </w:p>
    <w:p w14:paraId="21025EE7" w14:textId="52EB0315" w:rsidR="00CE1364" w:rsidRDefault="005430FB">
      <w:pPr>
        <w:pStyle w:val="P68B1DB1-Normal29"/>
        <w:keepNext/>
        <w:keepLines/>
        <w:spacing w:line="240" w:lineRule="auto"/>
      </w:pPr>
      <w:r>
        <w:lastRenderedPageBreak/>
        <w:t xml:space="preserve">Annexe 3: </w:t>
      </w:r>
      <w:r w:rsidR="00F43C27">
        <w:t xml:space="preserve">Exigence </w:t>
      </w:r>
      <w:r>
        <w:t>pertinentes du CN</w:t>
      </w:r>
      <w:r w:rsidR="00F43C27">
        <w:t>A</w:t>
      </w:r>
      <w:r>
        <w:t>Q de</w:t>
      </w:r>
      <w:r w:rsidR="00F43C27">
        <w:t>s Nations unies</w:t>
      </w:r>
    </w:p>
    <w:p w14:paraId="405C666C" w14:textId="3FF8C30C" w:rsidR="00CE1364" w:rsidRPr="00E94DC8" w:rsidRDefault="005430FB">
      <w:pPr>
        <w:pStyle w:val="P68B1DB1-Normal22"/>
        <w:keepNext/>
        <w:keepLines/>
        <w:spacing w:line="240" w:lineRule="auto"/>
      </w:pPr>
      <w:r>
        <w:t xml:space="preserve">L’annexe 3 contient le texte complet des </w:t>
      </w:r>
      <w:r w:rsidR="00F43C27">
        <w:t xml:space="preserve">exigences </w:t>
      </w:r>
      <w:r>
        <w:t>du CN</w:t>
      </w:r>
      <w:r w:rsidR="00F43C27">
        <w:t>AQ</w:t>
      </w:r>
      <w:r>
        <w:t xml:space="preserve"> de</w:t>
      </w:r>
      <w:r w:rsidR="00F43C27">
        <w:t>s Nations unies</w:t>
      </w:r>
      <w:r>
        <w:t xml:space="preserve"> (contenues dans l’annexe du Manuel) qui sont pertinentes ou contiennent des pratiques </w:t>
      </w:r>
      <w:r w:rsidR="00F43C27">
        <w:t xml:space="preserve">suggérés («meilleures») </w:t>
      </w:r>
      <w:r>
        <w:t xml:space="preserve">ou des éléments </w:t>
      </w:r>
      <w:r w:rsidR="00F43C27">
        <w:t xml:space="preserve">à garantir </w:t>
      </w:r>
      <w:r>
        <w:t>qui sont pertinents pour assurer la qualité des sources de données administratives et autres</w:t>
      </w:r>
      <w:r w:rsidR="00F43C27">
        <w:t xml:space="preserve"> sources de données</w:t>
      </w:r>
      <w:r>
        <w:t>. Les exigences et les éléments</w:t>
      </w:r>
      <w:r w:rsidR="00F43C27">
        <w:t xml:space="preserve"> pertinents à garantir</w:t>
      </w:r>
      <w:r>
        <w:t xml:space="preserve"> les plus </w:t>
      </w:r>
      <w:r w:rsidR="00F43C27">
        <w:t xml:space="preserve">pertinents </w:t>
      </w:r>
      <w:r>
        <w:t>sont mis en évidence. Les exigences sont énumérées telles qu’elles sont et dans leur séquence dans le CN</w:t>
      </w:r>
      <w:r w:rsidR="00F43C27">
        <w:t>A</w:t>
      </w:r>
      <w:r>
        <w:t>Q de</w:t>
      </w:r>
      <w:r w:rsidR="00F43C27">
        <w:t xml:space="preserve">s Nations unies </w:t>
      </w:r>
      <w:r>
        <w:t xml:space="preserve">sans aucune modification. L’annexe 3 est fournie uniquement pour faciliter la consultation, en </w:t>
      </w:r>
      <w:r w:rsidR="00F43C27">
        <w:t>tenant ainsi compte</w:t>
      </w:r>
      <w:r>
        <w:t xml:space="preserve"> </w:t>
      </w:r>
      <w:r w:rsidR="00F43C27">
        <w:t>d</w:t>
      </w:r>
      <w:r>
        <w:t xml:space="preserve">es utilisateurs dans les </w:t>
      </w:r>
      <w:r w:rsidRPr="00E94DC8">
        <w:t>pays ou les organismes de statistique qui n’utilisent pas le CN</w:t>
      </w:r>
      <w:r w:rsidR="00F43C27" w:rsidRPr="00E94DC8">
        <w:t>AQ</w:t>
      </w:r>
      <w:r w:rsidRPr="00E94DC8">
        <w:t xml:space="preserve"> de</w:t>
      </w:r>
      <w:r w:rsidR="00F43C27" w:rsidRPr="00E94DC8">
        <w:t>s Nations unies</w:t>
      </w:r>
      <w:r w:rsidRPr="00E94DC8">
        <w:t>.</w:t>
      </w:r>
    </w:p>
    <w:p w14:paraId="26F6114A" w14:textId="77777777" w:rsidR="00B630EF" w:rsidRPr="00E94DC8" w:rsidRDefault="00B630EF" w:rsidP="00B630EF">
      <w:pPr>
        <w:keepNext/>
        <w:keepLines/>
        <w:spacing w:after="0" w:line="240" w:lineRule="auto"/>
        <w:rPr>
          <w:rFonts w:asciiTheme="majorBidi" w:hAnsiTheme="majorBidi" w:cstheme="majorBidi"/>
          <w:szCs w:val="22"/>
          <w:shd w:val="pct15" w:color="auto" w:fill="FFFFFF"/>
          <w:lang w:val="fr-FR" w:eastAsia="zh-CN"/>
        </w:rPr>
      </w:pPr>
      <w:r w:rsidRPr="00E94DC8">
        <w:rPr>
          <w:rFonts w:asciiTheme="majorBidi" w:hAnsiTheme="majorBidi" w:cstheme="majorBidi"/>
          <w:szCs w:val="22"/>
          <w:lang w:val="fr-FR" w:eastAsia="zh-CN"/>
        </w:rPr>
        <w:t xml:space="preserve">Exigence 2.5 : </w:t>
      </w:r>
      <w:r w:rsidRPr="00E94DC8">
        <w:rPr>
          <w:rFonts w:asciiTheme="majorBidi" w:hAnsiTheme="majorBidi" w:cstheme="majorBidi"/>
          <w:szCs w:val="22"/>
          <w:shd w:val="pct15" w:color="auto" w:fill="FFFFFF"/>
          <w:lang w:val="fr-FR" w:eastAsia="zh-CN"/>
        </w:rPr>
        <w:t>L’institut national de la statistique et, le cas échéant, d’autres organismes</w:t>
      </w:r>
    </w:p>
    <w:p w14:paraId="4901F8EF" w14:textId="77777777" w:rsidR="00B630EF" w:rsidRPr="00E94DC8" w:rsidRDefault="00B630EF" w:rsidP="00B630EF">
      <w:pPr>
        <w:keepNext/>
        <w:keepLines/>
        <w:spacing w:after="0" w:line="240" w:lineRule="auto"/>
        <w:rPr>
          <w:rFonts w:asciiTheme="majorBidi" w:hAnsiTheme="majorBidi" w:cstheme="majorBidi"/>
          <w:szCs w:val="22"/>
          <w:shd w:val="pct15" w:color="auto" w:fill="FFFFFF"/>
          <w:lang w:val="fr-FR" w:eastAsia="zh-CN"/>
        </w:rPr>
      </w:pPr>
      <w:r w:rsidRPr="00E94DC8">
        <w:rPr>
          <w:rFonts w:asciiTheme="majorBidi" w:hAnsiTheme="majorBidi" w:cstheme="majorBidi"/>
          <w:szCs w:val="22"/>
          <w:shd w:val="pct15" w:color="auto" w:fill="FFFFFF"/>
          <w:lang w:val="fr-FR" w:eastAsia="zh-CN"/>
        </w:rPr>
        <w:t>statistiques ont l’autorité légale ou une autre disposition officielle pour obtenir des données administratives et un accès adéquat à ces données auprès d’autres organismes publics</w:t>
      </w:r>
    </w:p>
    <w:p w14:paraId="6BB7B360" w14:textId="77777777" w:rsidR="00B630EF" w:rsidRPr="00E94DC8" w:rsidRDefault="00B630EF" w:rsidP="00B630EF">
      <w:pPr>
        <w:keepNext/>
        <w:keepLines/>
        <w:spacing w:after="0" w:line="240" w:lineRule="auto"/>
        <w:rPr>
          <w:rFonts w:asciiTheme="majorBidi" w:hAnsiTheme="majorBidi" w:cstheme="majorBidi"/>
          <w:szCs w:val="22"/>
          <w:shd w:val="pct15" w:color="auto" w:fill="FFFFFF"/>
          <w:lang w:val="fr-FR" w:eastAsia="zh-CN"/>
        </w:rPr>
      </w:pPr>
      <w:r w:rsidRPr="00E94DC8">
        <w:rPr>
          <w:rFonts w:asciiTheme="majorBidi" w:hAnsiTheme="majorBidi" w:cstheme="majorBidi"/>
          <w:szCs w:val="22"/>
          <w:shd w:val="pct15" w:color="auto" w:fill="FFFFFF"/>
          <w:lang w:val="fr-FR" w:eastAsia="zh-CN"/>
        </w:rPr>
        <w:t>à des fins statistiques.</w:t>
      </w:r>
    </w:p>
    <w:p w14:paraId="01695FD1" w14:textId="77777777" w:rsidR="00B630EF" w:rsidRPr="00E94DC8" w:rsidRDefault="00B630EF" w:rsidP="00B630EF">
      <w:pPr>
        <w:keepNext/>
        <w:keepLines/>
        <w:numPr>
          <w:ilvl w:val="0"/>
          <w:numId w:val="2"/>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La loi statistique prévoit des dispositions appropriées pour garantir à l’INS et, le cas échéant, à d’autres organismes statistiques, le droit d’obtenir ou d’accéder aux données administratives en temps utile.</w:t>
      </w:r>
    </w:p>
    <w:p w14:paraId="428D84CE" w14:textId="77777777" w:rsidR="00B630EF" w:rsidRPr="00E94DC8" w:rsidRDefault="00B630EF" w:rsidP="00B630EF">
      <w:pPr>
        <w:keepNext/>
        <w:keepLines/>
        <w:numPr>
          <w:ilvl w:val="0"/>
          <w:numId w:val="2"/>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Dans les cas où les organismes statistiques n’ont pas légalement le droit d’obtenir des données administratives, des protocoles d’entente sont en place pour permettre un tel accès.</w:t>
      </w:r>
    </w:p>
    <w:p w14:paraId="4A2CAF4C" w14:textId="77777777" w:rsidR="00B630EF" w:rsidRPr="00E94DC8" w:rsidRDefault="00B630EF" w:rsidP="00B630EF">
      <w:pPr>
        <w:keepNext/>
        <w:keepLines/>
        <w:numPr>
          <w:ilvl w:val="0"/>
          <w:numId w:val="2"/>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L’accès des organismes statistiques aux données administratives est gratuit.</w:t>
      </w:r>
    </w:p>
    <w:p w14:paraId="2F4DE175" w14:textId="77777777" w:rsidR="00B630EF" w:rsidRPr="00E94DC8" w:rsidRDefault="00B630EF" w:rsidP="00B630EF">
      <w:pPr>
        <w:keepNext/>
        <w:keepLines/>
        <w:numPr>
          <w:ilvl w:val="0"/>
          <w:numId w:val="2"/>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Des accords avec les propriétaires de données administratives sont en place pour permettre l’accès aux données. Ils décrivent les conditions techniques d’accès et les possibilités d’intégration de ces données avec celles provenant d’autres sources de données administratives.</w:t>
      </w:r>
    </w:p>
    <w:p w14:paraId="59CF2017" w14:textId="77777777" w:rsidR="00B630EF" w:rsidRPr="00E94DC8" w:rsidRDefault="00B630EF" w:rsidP="00B630EF">
      <w:pPr>
        <w:keepNext/>
        <w:keepLines/>
        <w:numPr>
          <w:ilvl w:val="0"/>
          <w:numId w:val="2"/>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organismes statistiques participent à la conception et au développement des ensembles de données administratives afin de les adapter à des fins statistiques; cette implication s’étend à toute interruption du processus pour ces ensembles de données.</w:t>
      </w:r>
    </w:p>
    <w:p w14:paraId="7A0F0358" w14:textId="77777777" w:rsidR="00B630EF" w:rsidRPr="00E94DC8" w:rsidRDefault="00B630EF" w:rsidP="00B630EF">
      <w:pPr>
        <w:keepNext/>
        <w:keepLines/>
        <w:spacing w:after="0" w:line="240" w:lineRule="auto"/>
        <w:rPr>
          <w:rFonts w:asciiTheme="majorBidi" w:hAnsiTheme="majorBidi" w:cstheme="majorBidi"/>
          <w:szCs w:val="22"/>
          <w:lang w:val="fr-FR" w:eastAsia="zh-CN"/>
        </w:rPr>
      </w:pPr>
    </w:p>
    <w:p w14:paraId="2D0043E0" w14:textId="77777777" w:rsidR="00B630EF" w:rsidRPr="00E94DC8" w:rsidRDefault="00B630EF" w:rsidP="00B630EF">
      <w:pPr>
        <w:keepNext/>
        <w:keepLines/>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 xml:space="preserve">Exigence 2.6 : </w:t>
      </w:r>
      <w:r w:rsidRPr="00E94DC8">
        <w:rPr>
          <w:rFonts w:asciiTheme="majorBidi" w:hAnsiTheme="majorBidi" w:cstheme="majorBidi"/>
          <w:szCs w:val="22"/>
          <w:shd w:val="pct15" w:color="auto" w:fill="FFFFFF"/>
          <w:lang w:val="fr-FR" w:eastAsia="zh-CN"/>
        </w:rPr>
        <w:t>L’institut national de la statistique et, le cas échéant, d’autres organismes statistiques ont l’autorité légale ou une autre disposition officielle et des accords connexes permettant l’accès aux données (y compris les mégadonnées) gérées par des sociétés privées ou d’autres organisations non gouvernementales à des fins statistiques sur une base régulière, notamment pour des tests et des expérimentations</w:t>
      </w:r>
      <w:r w:rsidRPr="00E94DC8">
        <w:rPr>
          <w:rFonts w:asciiTheme="majorBidi" w:hAnsiTheme="majorBidi" w:cstheme="majorBidi"/>
          <w:szCs w:val="22"/>
          <w:lang w:val="fr-FR" w:eastAsia="zh-CN"/>
        </w:rPr>
        <w:t>.</w:t>
      </w:r>
    </w:p>
    <w:p w14:paraId="7E38BA6B" w14:textId="77777777" w:rsidR="00B630EF" w:rsidRPr="00E94DC8" w:rsidRDefault="00B630EF" w:rsidP="00B630EF">
      <w:pPr>
        <w:keepNext/>
        <w:keepLines/>
        <w:numPr>
          <w:ilvl w:val="0"/>
          <w:numId w:val="3"/>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La loi statistique prévoit des dispositions appropriées pour garantir à l’INS et, le cas échéant, aux autres organismes statistiques, le droit d’obtenir ou d’accéder, en temps utile, aux données détenues par des sociétés privées ou autres organisations non gouvernementales à des fins statistiques (comme les sociétés qui fournissent des services aux personnes physiques et morales résidant dans le pays).</w:t>
      </w:r>
    </w:p>
    <w:p w14:paraId="6154971A" w14:textId="77777777" w:rsidR="00B630EF" w:rsidRPr="00E94DC8" w:rsidRDefault="00B630EF" w:rsidP="00B630EF">
      <w:pPr>
        <w:keepNext/>
        <w:keepLines/>
        <w:numPr>
          <w:ilvl w:val="0"/>
          <w:numId w:val="3"/>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La loi statistique prévoit des sanctions adéquates pour garantir l’accès aux données privées, le cas échéant (telles que des amendes pour n’avoir pas donné un tel accès).</w:t>
      </w:r>
    </w:p>
    <w:p w14:paraId="0535A095" w14:textId="77777777" w:rsidR="00B630EF" w:rsidRPr="00E94DC8" w:rsidRDefault="00B630EF" w:rsidP="00B630EF">
      <w:pPr>
        <w:keepNext/>
        <w:keepLines/>
        <w:numPr>
          <w:ilvl w:val="0"/>
          <w:numId w:val="3"/>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Dans les cas où les organismes statistiques ne sont pas légalement autorisés à accéder aux données gérées par des sociétés ou autres organisations non gouvernementales, des protocoles d’accord sont en place pour accorder un tel accès.</w:t>
      </w:r>
    </w:p>
    <w:p w14:paraId="755E2953" w14:textId="77777777" w:rsidR="00B630EF" w:rsidRPr="00E94DC8" w:rsidRDefault="00B630EF" w:rsidP="00B630EF">
      <w:pPr>
        <w:keepNext/>
        <w:keepLines/>
        <w:numPr>
          <w:ilvl w:val="0"/>
          <w:numId w:val="3"/>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organismes statistiques examinent la pertinence et la portée des données demandées.</w:t>
      </w:r>
    </w:p>
    <w:p w14:paraId="38645402" w14:textId="77777777" w:rsidR="00B630EF" w:rsidRPr="00E94DC8" w:rsidRDefault="00B630EF" w:rsidP="00B630EF">
      <w:pPr>
        <w:keepNext/>
        <w:keepLines/>
        <w:numPr>
          <w:ilvl w:val="0"/>
          <w:numId w:val="3"/>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L’accès aux données privées et leur utilisation sont conformes aux procédures convenues entre les organismes statistiques et les propriétaires ou détenteurs des données.</w:t>
      </w:r>
    </w:p>
    <w:p w14:paraId="7BF79821" w14:textId="77777777" w:rsidR="00B630EF" w:rsidRPr="00E94DC8" w:rsidRDefault="00B630EF" w:rsidP="00B630EF">
      <w:pPr>
        <w:keepNext/>
        <w:keepLines/>
        <w:spacing w:after="0" w:line="240" w:lineRule="auto"/>
        <w:rPr>
          <w:rFonts w:asciiTheme="majorBidi" w:hAnsiTheme="majorBidi" w:cstheme="majorBidi"/>
          <w:szCs w:val="22"/>
          <w:lang w:val="fr-FR" w:eastAsia="zh-CN"/>
        </w:rPr>
      </w:pPr>
    </w:p>
    <w:p w14:paraId="64942E29" w14:textId="77777777" w:rsidR="00B630EF" w:rsidRPr="00E94DC8" w:rsidRDefault="00B630EF" w:rsidP="00B630EF">
      <w:pPr>
        <w:keepNext/>
        <w:keepLines/>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 xml:space="preserve">Exigence 2.7 : </w:t>
      </w:r>
      <w:r w:rsidRPr="00E94DC8">
        <w:rPr>
          <w:rFonts w:asciiTheme="majorBidi" w:hAnsiTheme="majorBidi" w:cstheme="majorBidi"/>
          <w:szCs w:val="22"/>
          <w:shd w:val="pct15" w:color="auto" w:fill="FFFFFF"/>
          <w:lang w:val="fr-FR" w:eastAsia="zh-CN"/>
        </w:rPr>
        <w:t>L’institut national de la statistique coopère avec les fournisseurs de données et leur donne un appui et des conseils</w:t>
      </w:r>
      <w:r w:rsidRPr="00E94DC8">
        <w:rPr>
          <w:rFonts w:asciiTheme="majorBidi" w:hAnsiTheme="majorBidi" w:cstheme="majorBidi"/>
          <w:szCs w:val="22"/>
          <w:lang w:val="fr-FR" w:eastAsia="zh-CN"/>
        </w:rPr>
        <w:t>.</w:t>
      </w:r>
    </w:p>
    <w:p w14:paraId="23BBC49F" w14:textId="77777777" w:rsidR="00B630EF" w:rsidRPr="00E94DC8" w:rsidRDefault="00B630EF" w:rsidP="00B630EF">
      <w:pPr>
        <w:keepNext/>
        <w:keepLines/>
        <w:numPr>
          <w:ilvl w:val="0"/>
          <w:numId w:val="4"/>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lastRenderedPageBreak/>
        <w:t>L’INS consulte régulièrement les fournisseurs de données et entretient une coopération avec les fournisseurs de données administratives ainsi qu’avec les sociétés, entreprises et autres organisations qui détiennent des données afin de renforcer la valeur statistique et l’utilisation de ces sources.</w:t>
      </w:r>
    </w:p>
    <w:p w14:paraId="7572C68C" w14:textId="77777777" w:rsidR="00B630EF" w:rsidRPr="00E94DC8" w:rsidRDefault="00B630EF" w:rsidP="00B630EF">
      <w:pPr>
        <w:keepNext/>
        <w:keepLines/>
        <w:numPr>
          <w:ilvl w:val="0"/>
          <w:numId w:val="4"/>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rapports sur la qualité des données administratives sont élaborés en coopération avec l’INS et le propriétaire des données, et décrivent notamment l’exactitude, l’exhaustivité, l’actualité et la ponctualité.</w:t>
      </w:r>
      <w:r w:rsidRPr="00E94DC8">
        <w:rPr>
          <w:rFonts w:asciiTheme="majorBidi" w:hAnsiTheme="majorBidi" w:cstheme="majorBidi"/>
          <w:szCs w:val="22"/>
          <w:vertAlign w:val="superscript"/>
          <w:lang w:val="fr-FR" w:eastAsia="zh-CN"/>
        </w:rPr>
        <w:t>90</w:t>
      </w:r>
    </w:p>
    <w:p w14:paraId="4F37F14E" w14:textId="77777777" w:rsidR="00B630EF" w:rsidRPr="00E94DC8" w:rsidRDefault="00B630EF" w:rsidP="00B630EF">
      <w:pPr>
        <w:keepNext/>
        <w:keepLines/>
        <w:numPr>
          <w:ilvl w:val="0"/>
          <w:numId w:val="4"/>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détenteurs de données administratives, les entreprises et les autres organisations reçoivent des commentaires sur la qualité des données fournies pour des améliorations futures.</w:t>
      </w:r>
    </w:p>
    <w:p w14:paraId="30310E56" w14:textId="77777777" w:rsidR="00B630EF" w:rsidRPr="00E94DC8" w:rsidRDefault="00B630EF" w:rsidP="00B630EF">
      <w:pPr>
        <w:keepNext/>
        <w:keepLines/>
        <w:numPr>
          <w:ilvl w:val="0"/>
          <w:numId w:val="4"/>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Des accords de partenariat avec les fournisseurs de données sont signés.</w:t>
      </w:r>
    </w:p>
    <w:p w14:paraId="64FFBA47" w14:textId="77777777" w:rsidR="00B630EF" w:rsidRPr="00E94DC8" w:rsidRDefault="00B630EF" w:rsidP="00B630EF">
      <w:pPr>
        <w:keepNext/>
        <w:keepLines/>
        <w:spacing w:after="0" w:line="240" w:lineRule="auto"/>
        <w:rPr>
          <w:rFonts w:asciiTheme="majorBidi" w:hAnsiTheme="majorBidi" w:cstheme="majorBidi"/>
          <w:szCs w:val="22"/>
          <w:lang w:val="fr-FR" w:eastAsia="zh-CN"/>
        </w:rPr>
      </w:pPr>
    </w:p>
    <w:p w14:paraId="419A291C" w14:textId="77777777" w:rsidR="00B630EF" w:rsidRPr="00E94DC8" w:rsidRDefault="00B630EF" w:rsidP="00B630EF">
      <w:pPr>
        <w:keepNext/>
        <w:keepLines/>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 xml:space="preserve">Exigence 3.2 : </w:t>
      </w:r>
      <w:r w:rsidRPr="00E94DC8">
        <w:rPr>
          <w:rFonts w:asciiTheme="majorBidi" w:hAnsiTheme="majorBidi" w:cstheme="majorBidi"/>
          <w:szCs w:val="22"/>
          <w:shd w:val="pct15" w:color="auto" w:fill="FFFFFF"/>
          <w:lang w:val="fr-FR" w:eastAsia="zh-CN"/>
        </w:rPr>
        <w:t>L’institut national de la statistique donne un appui et des conseils à tous les fournisseurs de données et producteurs de statistiques officielles pour l’application des normes statistiques</w:t>
      </w:r>
      <w:r w:rsidRPr="00E94DC8">
        <w:rPr>
          <w:rFonts w:asciiTheme="majorBidi" w:hAnsiTheme="majorBidi" w:cstheme="majorBidi"/>
          <w:szCs w:val="22"/>
          <w:lang w:val="fr-FR" w:eastAsia="zh-CN"/>
        </w:rPr>
        <w:t>.</w:t>
      </w:r>
    </w:p>
    <w:p w14:paraId="5227DF8D" w14:textId="77777777" w:rsidR="00B630EF" w:rsidRPr="00E94DC8" w:rsidRDefault="00B630EF" w:rsidP="00B630EF">
      <w:pPr>
        <w:keepNext/>
        <w:keepLines/>
        <w:numPr>
          <w:ilvl w:val="0"/>
          <w:numId w:val="5"/>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L’INS veille à l’utilisation des normes statistiques par les fournisseurs de données et les producteurs de statistiques officielles.</w:t>
      </w:r>
    </w:p>
    <w:p w14:paraId="5EB80FE5" w14:textId="77777777" w:rsidR="00B630EF" w:rsidRPr="00E94DC8" w:rsidRDefault="00B630EF" w:rsidP="00B630EF">
      <w:pPr>
        <w:keepNext/>
        <w:keepLines/>
        <w:numPr>
          <w:ilvl w:val="0"/>
          <w:numId w:val="5"/>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Des rapports périodiques sont produits sur le respect des normes statistiques internationales, régionales et nationales.</w:t>
      </w:r>
    </w:p>
    <w:p w14:paraId="56469EB4" w14:textId="77777777" w:rsidR="00B630EF" w:rsidRPr="00E94DC8" w:rsidRDefault="00B630EF" w:rsidP="00B630EF">
      <w:pPr>
        <w:keepNext/>
        <w:keepLines/>
        <w:numPr>
          <w:ilvl w:val="0"/>
          <w:numId w:val="5"/>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normes statistiques sont communiquées et mises à la disposition de tous les fournisseurs de données et producteurs de statistiques officielles.</w:t>
      </w:r>
    </w:p>
    <w:p w14:paraId="6E434969" w14:textId="77777777" w:rsidR="00B630EF" w:rsidRPr="00E94DC8" w:rsidRDefault="00B630EF" w:rsidP="00B630EF">
      <w:pPr>
        <w:keepNext/>
        <w:keepLines/>
        <w:numPr>
          <w:ilvl w:val="0"/>
          <w:numId w:val="5"/>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plans et les calendriers d’élaboration et d’application des nouvelles normes sont communiqués à l’avance.</w:t>
      </w:r>
    </w:p>
    <w:p w14:paraId="2664422C" w14:textId="77777777" w:rsidR="00B630EF" w:rsidRPr="00E94DC8" w:rsidRDefault="00B630EF" w:rsidP="00B630EF">
      <w:pPr>
        <w:keepNext/>
        <w:keepLines/>
        <w:numPr>
          <w:ilvl w:val="0"/>
          <w:numId w:val="5"/>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L’INS aide les autres producteurs de statistiques et fournisseurs de données à mettre en œuvre les normes statistiques internationales, régionales et nationales, le cas échéant.</w:t>
      </w:r>
    </w:p>
    <w:p w14:paraId="6F4B63BB" w14:textId="77777777" w:rsidR="00B630EF" w:rsidRPr="00E94DC8" w:rsidRDefault="00B630EF" w:rsidP="00B630EF">
      <w:pPr>
        <w:keepNext/>
        <w:keepLines/>
        <w:spacing w:after="0" w:line="240" w:lineRule="auto"/>
        <w:rPr>
          <w:rFonts w:asciiTheme="majorBidi" w:hAnsiTheme="majorBidi" w:cstheme="majorBidi"/>
          <w:szCs w:val="22"/>
          <w:lang w:val="fr-FR" w:eastAsia="zh-CN"/>
        </w:rPr>
      </w:pPr>
    </w:p>
    <w:p w14:paraId="3A3DDD4B" w14:textId="77777777" w:rsidR="00B630EF" w:rsidRPr="00E94DC8" w:rsidRDefault="00B630EF" w:rsidP="00B630EF">
      <w:pPr>
        <w:keepNext/>
        <w:keepLines/>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 xml:space="preserve">Exigence 5.2 : </w:t>
      </w:r>
      <w:r w:rsidRPr="00E94DC8">
        <w:rPr>
          <w:rFonts w:asciiTheme="majorBidi" w:hAnsiTheme="majorBidi" w:cstheme="majorBidi"/>
          <w:szCs w:val="22"/>
          <w:shd w:val="pct15" w:color="auto" w:fill="FFFFFF"/>
          <w:lang w:val="fr-FR" w:eastAsia="zh-CN"/>
        </w:rPr>
        <w:t>Les organismes statistiques mettent en œuvre une déclaration ou un code de conduite ou d’éthique qui régit les pratiques statistiques, dont le respect fait l’objet d’un suivi</w:t>
      </w:r>
      <w:r w:rsidRPr="00E94DC8">
        <w:rPr>
          <w:rFonts w:asciiTheme="majorBidi" w:hAnsiTheme="majorBidi" w:cstheme="majorBidi"/>
          <w:szCs w:val="22"/>
          <w:lang w:val="fr-FR" w:eastAsia="zh-CN"/>
        </w:rPr>
        <w:t>.</w:t>
      </w:r>
    </w:p>
    <w:p w14:paraId="725F507F" w14:textId="77777777" w:rsidR="00B630EF" w:rsidRPr="00E94DC8" w:rsidRDefault="00B630EF" w:rsidP="00B630EF">
      <w:pPr>
        <w:keepNext/>
        <w:keepLines/>
        <w:numPr>
          <w:ilvl w:val="0"/>
          <w:numId w:val="6"/>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Il existe des directives éthiques ou un code de conduite pour assurer l’impartialité et l’objectivité.</w:t>
      </w:r>
    </w:p>
    <w:p w14:paraId="4DA01890" w14:textId="77777777" w:rsidR="00B630EF" w:rsidRPr="00E94DC8" w:rsidRDefault="00B630EF" w:rsidP="00B630EF">
      <w:pPr>
        <w:keepNext/>
        <w:keepLines/>
        <w:numPr>
          <w:ilvl w:val="0"/>
          <w:numId w:val="6"/>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directives sont à la disposition du public.</w:t>
      </w:r>
    </w:p>
    <w:p w14:paraId="11DB330B" w14:textId="77777777" w:rsidR="00B630EF" w:rsidRPr="00E94DC8" w:rsidRDefault="00B630EF" w:rsidP="00B630EF">
      <w:pPr>
        <w:keepNext/>
        <w:keepLines/>
        <w:numPr>
          <w:ilvl w:val="0"/>
          <w:numId w:val="6"/>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La mise en œuvre des directives fait l’objet d’un suivi.</w:t>
      </w:r>
    </w:p>
    <w:p w14:paraId="2141E199" w14:textId="77777777" w:rsidR="00B630EF" w:rsidRPr="00E94DC8" w:rsidRDefault="00B630EF" w:rsidP="00B630EF">
      <w:pPr>
        <w:keepNext/>
        <w:keepLines/>
        <w:spacing w:after="0" w:line="240" w:lineRule="auto"/>
        <w:rPr>
          <w:rFonts w:asciiTheme="majorBidi" w:hAnsiTheme="majorBidi" w:cstheme="majorBidi"/>
          <w:szCs w:val="22"/>
          <w:lang w:val="fr-FR" w:eastAsia="zh-CN"/>
        </w:rPr>
      </w:pPr>
    </w:p>
    <w:p w14:paraId="777871B0" w14:textId="4633FD8D" w:rsidR="00B630EF" w:rsidRPr="00E94DC8" w:rsidRDefault="00B630EF" w:rsidP="00B630EF">
      <w:pPr>
        <w:keepNext/>
        <w:keepLines/>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 xml:space="preserve">Exigence 5.3 : </w:t>
      </w:r>
      <w:r w:rsidRPr="00E94DC8">
        <w:rPr>
          <w:rFonts w:asciiTheme="majorBidi" w:hAnsiTheme="majorBidi" w:cstheme="majorBidi"/>
          <w:szCs w:val="22"/>
          <w:shd w:val="pct15" w:color="auto" w:fill="FFFFFF"/>
          <w:lang w:val="fr-FR" w:eastAsia="zh-CN"/>
        </w:rPr>
        <w:t>Les sources de données et les méthodologies sont choisies de manière objective</w:t>
      </w:r>
      <w:r w:rsidRPr="00E94DC8">
        <w:rPr>
          <w:rFonts w:asciiTheme="majorBidi" w:hAnsiTheme="majorBidi" w:cstheme="majorBidi"/>
          <w:szCs w:val="22"/>
          <w:lang w:val="fr-FR" w:eastAsia="zh-CN"/>
        </w:rPr>
        <w:t>.</w:t>
      </w:r>
    </w:p>
    <w:p w14:paraId="62AE553C" w14:textId="77777777" w:rsidR="00B630EF" w:rsidRPr="00E94DC8" w:rsidRDefault="00B630EF" w:rsidP="00B630EF">
      <w:pPr>
        <w:keepNext/>
        <w:keepLines/>
        <w:numPr>
          <w:ilvl w:val="0"/>
          <w:numId w:val="7"/>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sources, concepts, méthodes et processus pour le développement, la production et la diffusion de données sont choisis sur la base de considérations statistiques, de principes nationaux et internationaux, et de bonnes pratiques.</w:t>
      </w:r>
    </w:p>
    <w:p w14:paraId="5508D901" w14:textId="77777777" w:rsidR="00B630EF" w:rsidRPr="00E94DC8" w:rsidRDefault="00B630EF" w:rsidP="00B630EF">
      <w:pPr>
        <w:keepNext/>
        <w:keepLines/>
        <w:spacing w:after="0" w:line="240" w:lineRule="auto"/>
        <w:rPr>
          <w:rFonts w:asciiTheme="majorBidi" w:hAnsiTheme="majorBidi" w:cstheme="majorBidi"/>
          <w:szCs w:val="22"/>
          <w:lang w:val="fr-FR" w:eastAsia="zh-CN"/>
        </w:rPr>
      </w:pPr>
    </w:p>
    <w:p w14:paraId="4F79DF04" w14:textId="77777777" w:rsidR="00B630EF" w:rsidRPr="00E94DC8" w:rsidRDefault="00B630EF" w:rsidP="00B630EF">
      <w:pPr>
        <w:keepNext/>
        <w:keepLines/>
        <w:spacing w:after="0" w:line="240" w:lineRule="auto"/>
        <w:rPr>
          <w:rFonts w:asciiTheme="majorBidi" w:hAnsiTheme="majorBidi" w:cstheme="majorBidi"/>
          <w:szCs w:val="22"/>
          <w:shd w:val="pct15" w:color="auto" w:fill="FFFFFF"/>
          <w:lang w:val="fr-FR" w:eastAsia="zh-CN"/>
        </w:rPr>
      </w:pPr>
      <w:r w:rsidRPr="00E94DC8">
        <w:rPr>
          <w:rFonts w:asciiTheme="majorBidi" w:hAnsiTheme="majorBidi" w:cstheme="majorBidi"/>
          <w:szCs w:val="22"/>
          <w:lang w:val="fr-FR" w:eastAsia="zh-CN"/>
        </w:rPr>
        <w:t xml:space="preserve">Exigence 7.1 : </w:t>
      </w:r>
      <w:r w:rsidRPr="00E94DC8">
        <w:rPr>
          <w:rFonts w:asciiTheme="majorBidi" w:hAnsiTheme="majorBidi" w:cstheme="majorBidi"/>
          <w:szCs w:val="22"/>
          <w:shd w:val="pct15" w:color="auto" w:fill="FFFFFF"/>
          <w:lang w:val="fr-FR" w:eastAsia="zh-CN"/>
        </w:rPr>
        <w:t>Le secret statistique est garanti par la loi.</w:t>
      </w:r>
    </w:p>
    <w:p w14:paraId="116D8CA0" w14:textId="77777777" w:rsidR="00B630EF" w:rsidRPr="00E94DC8" w:rsidRDefault="00B630EF" w:rsidP="00B630EF">
      <w:pPr>
        <w:keepNext/>
        <w:keepLines/>
        <w:numPr>
          <w:ilvl w:val="0"/>
          <w:numId w:val="23"/>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Il existe une loi ou autre disposition officielle claire en vigueur qui exige la gestion appropriée des informations reçues des répondants et des fournisseurs de données afin de garantir la confidentialité des statistiques et la sécurité des données.</w:t>
      </w:r>
    </w:p>
    <w:p w14:paraId="32B88661" w14:textId="77777777" w:rsidR="00B630EF" w:rsidRPr="00E94DC8" w:rsidRDefault="00B630EF" w:rsidP="00B630EF">
      <w:pPr>
        <w:keepNext/>
        <w:keepLines/>
        <w:spacing w:after="0" w:line="240" w:lineRule="auto"/>
        <w:rPr>
          <w:rFonts w:asciiTheme="majorBidi" w:hAnsiTheme="majorBidi" w:cstheme="majorBidi"/>
          <w:szCs w:val="22"/>
          <w:lang w:val="fr-FR" w:eastAsia="zh-CN"/>
        </w:rPr>
      </w:pPr>
    </w:p>
    <w:p w14:paraId="6C08102D" w14:textId="77777777" w:rsidR="00B630EF" w:rsidRPr="00E94DC8" w:rsidRDefault="00B630EF" w:rsidP="00B630EF">
      <w:pPr>
        <w:keepNext/>
        <w:keepLines/>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 xml:space="preserve">Exigence 7.2 : </w:t>
      </w:r>
      <w:r w:rsidRPr="00E94DC8">
        <w:rPr>
          <w:rFonts w:asciiTheme="majorBidi" w:hAnsiTheme="majorBidi" w:cstheme="majorBidi"/>
          <w:szCs w:val="22"/>
          <w:shd w:val="pct15" w:color="auto" w:fill="FFFFFF"/>
          <w:lang w:val="fr-FR" w:eastAsia="zh-CN"/>
        </w:rPr>
        <w:t>Des normes, directives, pratiques et procédures appropriées sont en place pour garantir la confidentialité des statistiques</w:t>
      </w:r>
      <w:r w:rsidRPr="00E94DC8">
        <w:rPr>
          <w:rFonts w:asciiTheme="majorBidi" w:hAnsiTheme="majorBidi" w:cstheme="majorBidi"/>
          <w:szCs w:val="22"/>
          <w:lang w:val="fr-FR" w:eastAsia="zh-CN"/>
        </w:rPr>
        <w:t>.</w:t>
      </w:r>
    </w:p>
    <w:p w14:paraId="0C617F7E" w14:textId="77777777" w:rsidR="00B630EF" w:rsidRPr="00E94DC8" w:rsidRDefault="00B630EF" w:rsidP="00B630EF">
      <w:pPr>
        <w:keepNext/>
        <w:keepLines/>
        <w:numPr>
          <w:ilvl w:val="0"/>
          <w:numId w:val="24"/>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Des directives et instructions sur la garantie de la confidentialité des statistiques tout au long du processus statistique sont fournies à tout le personnel des organismes statistiques.</w:t>
      </w:r>
    </w:p>
    <w:p w14:paraId="1364C30B" w14:textId="77777777" w:rsidR="00B630EF" w:rsidRPr="00E94DC8" w:rsidRDefault="00B630EF" w:rsidP="00B630EF">
      <w:pPr>
        <w:keepNext/>
        <w:keepLines/>
        <w:numPr>
          <w:ilvl w:val="0"/>
          <w:numId w:val="24"/>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Il existe des programmes de formation réguliers et continus pour tout le personnel sur le concept de confidentialité statistique et les meilleures pratiques pour garantir la confidentialité des informations fournies.</w:t>
      </w:r>
    </w:p>
    <w:p w14:paraId="1B9B2E4D" w14:textId="77777777" w:rsidR="00B630EF" w:rsidRPr="00E94DC8" w:rsidRDefault="00B630EF" w:rsidP="00B630EF">
      <w:pPr>
        <w:keepNext/>
        <w:keepLines/>
        <w:numPr>
          <w:ilvl w:val="0"/>
          <w:numId w:val="24"/>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La structure organisationnelle et les dispositions prises pour l’élaboration et la mise en œuvre de pratiques garantissant la confidentialité statistique permettent de répondre aux besoins.</w:t>
      </w:r>
    </w:p>
    <w:p w14:paraId="2B4C0762" w14:textId="77777777" w:rsidR="00B630EF" w:rsidRPr="00E94DC8" w:rsidRDefault="00B630EF" w:rsidP="00B630EF">
      <w:pPr>
        <w:keepNext/>
        <w:keepLines/>
        <w:numPr>
          <w:ilvl w:val="0"/>
          <w:numId w:val="24"/>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membres du personnel signent des accords de confidentialité lors de leur nomination, lesquels sont également valables après leur départ de l’organisme.</w:t>
      </w:r>
    </w:p>
    <w:p w14:paraId="1EC3F20D" w14:textId="77777777" w:rsidR="00B630EF" w:rsidRPr="00E94DC8" w:rsidRDefault="00B630EF" w:rsidP="00B630EF">
      <w:pPr>
        <w:keepNext/>
        <w:keepLines/>
        <w:spacing w:after="0" w:line="240" w:lineRule="auto"/>
        <w:rPr>
          <w:rFonts w:asciiTheme="majorBidi" w:hAnsiTheme="majorBidi" w:cstheme="majorBidi"/>
          <w:szCs w:val="22"/>
          <w:lang w:val="fr-FR" w:eastAsia="zh-CN"/>
        </w:rPr>
      </w:pPr>
    </w:p>
    <w:p w14:paraId="5E29A015" w14:textId="190BBC93" w:rsidR="00B630EF" w:rsidRPr="00E94DC8" w:rsidRDefault="00B630EF" w:rsidP="00B630EF">
      <w:pPr>
        <w:keepNext/>
        <w:keepLines/>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 xml:space="preserve">Exigence 7.3 : </w:t>
      </w:r>
      <w:r w:rsidRPr="00E94DC8">
        <w:rPr>
          <w:rFonts w:asciiTheme="majorBidi" w:hAnsiTheme="majorBidi" w:cstheme="majorBidi"/>
          <w:szCs w:val="22"/>
          <w:shd w:val="pct15" w:color="auto" w:fill="FFFFFF"/>
          <w:lang w:val="fr-FR" w:eastAsia="zh-CN"/>
        </w:rPr>
        <w:t>Des protocoles stricts permettant de garantir la confidentialité des données s’appliquent aux utilisateurs ayant accès aux microdonnées à des fins de recherche ou statistiques</w:t>
      </w:r>
      <w:r w:rsidRPr="00E94DC8">
        <w:rPr>
          <w:rFonts w:asciiTheme="majorBidi" w:hAnsiTheme="majorBidi" w:cstheme="majorBidi"/>
          <w:szCs w:val="22"/>
          <w:lang w:val="fr-FR" w:eastAsia="zh-CN"/>
        </w:rPr>
        <w:t>.</w:t>
      </w:r>
    </w:p>
    <w:p w14:paraId="7DEF2AC7" w14:textId="77777777" w:rsidR="00B630EF" w:rsidRPr="00E94DC8" w:rsidRDefault="00B630EF" w:rsidP="00B630EF">
      <w:pPr>
        <w:keepNext/>
        <w:keepLines/>
        <w:numPr>
          <w:ilvl w:val="0"/>
          <w:numId w:val="25"/>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La loi sur la statistique ou autre disposition légale fixe des conditions claires permettant aux chercheurs d’accéder aux données confidentielles à des fins scientifiques.</w:t>
      </w:r>
    </w:p>
    <w:p w14:paraId="5B491CBC" w14:textId="77777777" w:rsidR="00B630EF" w:rsidRPr="00E94DC8" w:rsidRDefault="00B630EF" w:rsidP="00B630EF">
      <w:pPr>
        <w:keepNext/>
        <w:keepLines/>
        <w:numPr>
          <w:ilvl w:val="0"/>
          <w:numId w:val="25"/>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Des règles de confidentialité, un contrôle de la divulgation et des procédures d’accès aux microdonnées s’appliquent tout au long du processus statistique.</w:t>
      </w:r>
    </w:p>
    <w:p w14:paraId="1EE04FA9" w14:textId="77777777" w:rsidR="00B630EF" w:rsidRPr="00E94DC8" w:rsidRDefault="00B630EF" w:rsidP="00B630EF">
      <w:pPr>
        <w:keepNext/>
        <w:keepLines/>
        <w:numPr>
          <w:ilvl w:val="0"/>
          <w:numId w:val="25"/>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organismes statistiques suivent l’utilisation des ensembles de microdonnées pour identifier les cas où la confidentialité des données peut être violée (par exemple, par l’appariement de fichiers) et prennent des mesures correctives immédiates pour y remédier.</w:t>
      </w:r>
    </w:p>
    <w:p w14:paraId="1E5CC76F" w14:textId="77777777" w:rsidR="00B630EF" w:rsidRPr="00E94DC8" w:rsidRDefault="00B630EF" w:rsidP="00B630EF">
      <w:pPr>
        <w:keepNext/>
        <w:keepLines/>
        <w:spacing w:after="0" w:line="240" w:lineRule="auto"/>
        <w:rPr>
          <w:rFonts w:asciiTheme="majorBidi" w:hAnsiTheme="majorBidi" w:cstheme="majorBidi"/>
          <w:szCs w:val="22"/>
          <w:lang w:val="fr-FR" w:eastAsia="zh-CN"/>
        </w:rPr>
      </w:pPr>
    </w:p>
    <w:p w14:paraId="685BBA46" w14:textId="397E53FA" w:rsidR="00B630EF" w:rsidRPr="00E94DC8" w:rsidRDefault="00B630EF" w:rsidP="00B630EF">
      <w:pPr>
        <w:keepNext/>
        <w:keepLines/>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 xml:space="preserve">Exigence 7.4 : </w:t>
      </w:r>
      <w:r w:rsidRPr="00E94DC8">
        <w:rPr>
          <w:rFonts w:asciiTheme="majorBidi" w:hAnsiTheme="majorBidi" w:cstheme="majorBidi"/>
          <w:szCs w:val="22"/>
          <w:shd w:val="pct15" w:color="auto" w:fill="FFFFFF"/>
          <w:lang w:val="fr-FR" w:eastAsia="zh-CN"/>
        </w:rPr>
        <w:t>Des sanctions sont prévues pour toute violation délibérée du secret statistique.</w:t>
      </w:r>
    </w:p>
    <w:p w14:paraId="2205FE2D" w14:textId="77777777" w:rsidR="00B630EF" w:rsidRPr="00E94DC8" w:rsidRDefault="00B630EF" w:rsidP="00B630EF">
      <w:pPr>
        <w:keepNext/>
        <w:keepLines/>
        <w:numPr>
          <w:ilvl w:val="0"/>
          <w:numId w:val="26"/>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Des dispositions légales ou autres sont en place pour permettre des sanctions administratives, pénales et disciplinaires en cas de violation du secret statistique.</w:t>
      </w:r>
    </w:p>
    <w:p w14:paraId="5AF4C9A8" w14:textId="77777777" w:rsidR="00B630EF" w:rsidRPr="00E94DC8" w:rsidRDefault="00B630EF" w:rsidP="00B630EF">
      <w:pPr>
        <w:keepNext/>
        <w:keepLines/>
        <w:numPr>
          <w:ilvl w:val="0"/>
          <w:numId w:val="26"/>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informations sur les dispositions permettant des sanctions pour violation du secret statistique sont partagées avec tout le personnel et mises à la disposition du public.</w:t>
      </w:r>
    </w:p>
    <w:p w14:paraId="7BE90C8B" w14:textId="77777777" w:rsidR="00B630EF" w:rsidRPr="00E94DC8" w:rsidRDefault="00B630EF" w:rsidP="00B630EF">
      <w:pPr>
        <w:keepNext/>
        <w:keepLines/>
        <w:spacing w:after="0" w:line="240" w:lineRule="auto"/>
        <w:rPr>
          <w:rFonts w:asciiTheme="majorBidi" w:hAnsiTheme="majorBidi" w:cstheme="majorBidi"/>
          <w:szCs w:val="22"/>
          <w:lang w:val="fr-FR" w:eastAsia="zh-CN"/>
        </w:rPr>
      </w:pPr>
    </w:p>
    <w:p w14:paraId="36931A85" w14:textId="77777777" w:rsidR="00B630EF" w:rsidRPr="00E94DC8" w:rsidRDefault="00B630EF" w:rsidP="00B630EF">
      <w:pPr>
        <w:keepNext/>
        <w:keepLines/>
        <w:spacing w:after="0" w:line="240" w:lineRule="auto"/>
        <w:rPr>
          <w:rFonts w:asciiTheme="majorBidi" w:hAnsiTheme="majorBidi" w:cstheme="majorBidi"/>
          <w:szCs w:val="22"/>
          <w:shd w:val="pct15" w:color="auto" w:fill="FFFFFF"/>
          <w:lang w:val="fr-FR" w:eastAsia="zh-CN"/>
        </w:rPr>
      </w:pPr>
      <w:r w:rsidRPr="00E94DC8">
        <w:rPr>
          <w:rFonts w:asciiTheme="majorBidi" w:hAnsiTheme="majorBidi" w:cstheme="majorBidi"/>
          <w:szCs w:val="22"/>
          <w:lang w:val="fr-FR" w:eastAsia="zh-CN"/>
        </w:rPr>
        <w:t xml:space="preserve">Exigence 7.5 : </w:t>
      </w:r>
      <w:r w:rsidRPr="00E94DC8">
        <w:rPr>
          <w:rFonts w:asciiTheme="majorBidi" w:hAnsiTheme="majorBidi" w:cstheme="majorBidi"/>
          <w:szCs w:val="22"/>
          <w:shd w:val="pct15" w:color="auto" w:fill="FFFFFF"/>
          <w:lang w:val="fr-FR" w:eastAsia="zh-CN"/>
        </w:rPr>
        <w:t>La sécurité et l’intégrité des données et leur transmission sont garanties par des politiques et pratiques appropriées.</w:t>
      </w:r>
    </w:p>
    <w:p w14:paraId="446D3B0E" w14:textId="77777777" w:rsidR="00B630EF" w:rsidRPr="00E94DC8" w:rsidRDefault="00B630EF" w:rsidP="00B630EF">
      <w:pPr>
        <w:keepNext/>
        <w:keepLines/>
        <w:numPr>
          <w:ilvl w:val="0"/>
          <w:numId w:val="27"/>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Une politique de sécurité informatique est en place et connue du personnel.</w:t>
      </w:r>
    </w:p>
    <w:p w14:paraId="2D7F60A7" w14:textId="77777777" w:rsidR="00B630EF" w:rsidRPr="00E94DC8" w:rsidRDefault="00B630EF" w:rsidP="00B630EF">
      <w:pPr>
        <w:keepNext/>
        <w:keepLines/>
        <w:numPr>
          <w:ilvl w:val="0"/>
          <w:numId w:val="27"/>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Conformément à la stratégie informatique, des mesures et processus de sécurité physiques appropriés sont en place pour garantir la sécurité des données et bases de données, conformément aux meilleures pratiques et aux normes internationales.</w:t>
      </w:r>
    </w:p>
    <w:p w14:paraId="0AABB4F9" w14:textId="77777777" w:rsidR="00B630EF" w:rsidRPr="00E94DC8" w:rsidRDefault="00B630EF" w:rsidP="00B630EF">
      <w:pPr>
        <w:keepNext/>
        <w:keepLines/>
        <w:numPr>
          <w:ilvl w:val="0"/>
          <w:numId w:val="27"/>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Des audits réguliers du système de sécurité des données sont effectués.</w:t>
      </w:r>
    </w:p>
    <w:p w14:paraId="784A60D0" w14:textId="77777777" w:rsidR="00B630EF" w:rsidRPr="00E94DC8" w:rsidRDefault="00B630EF" w:rsidP="00B630EF">
      <w:pPr>
        <w:keepNext/>
        <w:keepLines/>
        <w:numPr>
          <w:ilvl w:val="0"/>
          <w:numId w:val="27"/>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Tous les accès aux entrepôts de données et canaux de transmission sont surveillés.</w:t>
      </w:r>
    </w:p>
    <w:p w14:paraId="5870F9C8" w14:textId="77777777" w:rsidR="00B630EF" w:rsidRPr="00E94DC8" w:rsidRDefault="00B630EF" w:rsidP="00B630EF">
      <w:pPr>
        <w:keepNext/>
        <w:keepLines/>
        <w:numPr>
          <w:ilvl w:val="0"/>
          <w:numId w:val="27"/>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Pendant le transfert de données, le risque de violation est évalué et des procédures appropriées sont appliquées pour éliminer ou limiter le plus possible ce risque.</w:t>
      </w:r>
    </w:p>
    <w:p w14:paraId="012B4EFE" w14:textId="77777777" w:rsidR="00B630EF" w:rsidRPr="00E94DC8" w:rsidRDefault="00B630EF" w:rsidP="00B630EF">
      <w:pPr>
        <w:keepNext/>
        <w:keepLines/>
        <w:spacing w:after="0" w:line="240" w:lineRule="auto"/>
        <w:rPr>
          <w:rFonts w:asciiTheme="majorBidi" w:hAnsiTheme="majorBidi" w:cstheme="majorBidi"/>
          <w:szCs w:val="22"/>
          <w:lang w:val="fr-FR" w:eastAsia="zh-CN"/>
        </w:rPr>
      </w:pPr>
    </w:p>
    <w:p w14:paraId="758217DF" w14:textId="77777777" w:rsidR="00B630EF" w:rsidRPr="00E94DC8" w:rsidRDefault="00B630EF" w:rsidP="00B630EF">
      <w:pPr>
        <w:keepNext/>
        <w:keepLines/>
        <w:spacing w:after="0" w:line="240" w:lineRule="auto"/>
        <w:rPr>
          <w:rFonts w:asciiTheme="majorBidi" w:hAnsiTheme="majorBidi" w:cstheme="majorBidi"/>
          <w:szCs w:val="22"/>
          <w:shd w:val="pct15" w:color="auto" w:fill="FFFFFF"/>
          <w:lang w:val="fr-FR" w:eastAsia="zh-CN"/>
        </w:rPr>
      </w:pPr>
      <w:r w:rsidRPr="00E94DC8">
        <w:rPr>
          <w:rFonts w:asciiTheme="majorBidi" w:hAnsiTheme="majorBidi" w:cstheme="majorBidi"/>
          <w:szCs w:val="22"/>
          <w:lang w:val="fr-FR" w:eastAsia="zh-CN"/>
        </w:rPr>
        <w:t xml:space="preserve">Exigence 7.6 : </w:t>
      </w:r>
      <w:r w:rsidRPr="00E94DC8">
        <w:rPr>
          <w:rFonts w:asciiTheme="majorBidi" w:hAnsiTheme="majorBidi" w:cstheme="majorBidi"/>
          <w:szCs w:val="22"/>
          <w:shd w:val="pct15" w:color="auto" w:fill="FFFFFF"/>
          <w:lang w:val="fr-FR" w:eastAsia="zh-CN"/>
        </w:rPr>
        <w:t>Le risque que les répondants puissent être identifiés est évalué et géré.</w:t>
      </w:r>
    </w:p>
    <w:p w14:paraId="1ADACFA9" w14:textId="77777777" w:rsidR="00B630EF" w:rsidRPr="00E94DC8" w:rsidRDefault="00B630EF" w:rsidP="00B630EF">
      <w:pPr>
        <w:keepNext/>
        <w:keepLines/>
        <w:numPr>
          <w:ilvl w:val="0"/>
          <w:numId w:val="28"/>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Il existe un équilibre entre le niveau de risque acceptable d’identification des répondants et la facilité d’utilisation des données.</w:t>
      </w:r>
    </w:p>
    <w:p w14:paraId="575D38F8" w14:textId="77777777" w:rsidR="00B630EF" w:rsidRPr="00E94DC8" w:rsidRDefault="00B630EF" w:rsidP="00B630EF">
      <w:pPr>
        <w:keepNext/>
        <w:keepLines/>
        <w:numPr>
          <w:ilvl w:val="0"/>
          <w:numId w:val="28"/>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Des processus appropriés sont en place pour évaluer le risque de divulgation d’informations sensibles et le risque que des répondants puissent être identifiés à partir de la publication de statistiques ou microdonnées, et des procédures sont appliquées conformément à la politique de diffusion des données afin de limiter le plus possible ce risque.</w:t>
      </w:r>
    </w:p>
    <w:p w14:paraId="025E3731" w14:textId="77777777" w:rsidR="00205C84" w:rsidRPr="00205C84" w:rsidRDefault="00205C84" w:rsidP="00205C84">
      <w:pPr>
        <w:pStyle w:val="ListParagraph"/>
        <w:numPr>
          <w:ilvl w:val="0"/>
          <w:numId w:val="28"/>
        </w:numPr>
        <w:rPr>
          <w:rFonts w:asciiTheme="majorBidi" w:eastAsiaTheme="minorEastAsia" w:hAnsiTheme="majorBidi" w:cstheme="majorBidi"/>
          <w:sz w:val="22"/>
          <w:szCs w:val="22"/>
          <w:lang w:val="fr-FR" w:eastAsia="zh-CN"/>
        </w:rPr>
      </w:pPr>
      <w:r w:rsidRPr="00205C84">
        <w:rPr>
          <w:rFonts w:asciiTheme="majorBidi" w:eastAsiaTheme="minorEastAsia" w:hAnsiTheme="majorBidi" w:cstheme="majorBidi"/>
          <w:sz w:val="22"/>
          <w:szCs w:val="22"/>
          <w:lang w:val="fr-FR" w:eastAsia="zh-CN"/>
        </w:rPr>
        <w:t>Toutes les procédures mises en œuvre pour réduire de manière adéquate le risque d’identification sont correctement documentées et mises à disposition dans les métadonnées liées à l’ensemble de données statistiques.</w:t>
      </w:r>
    </w:p>
    <w:p w14:paraId="1ED4A947" w14:textId="77777777" w:rsidR="00B630EF" w:rsidRPr="00E94DC8" w:rsidRDefault="00B630EF" w:rsidP="00B630EF">
      <w:pPr>
        <w:keepNext/>
        <w:keepLines/>
        <w:numPr>
          <w:ilvl w:val="0"/>
          <w:numId w:val="28"/>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utilisateurs sont informés que des procédures visant à réduire le risque d’identification ont été mises en œuvre et que de telles procédures pourraient entraîner une perte d’informations.</w:t>
      </w:r>
    </w:p>
    <w:p w14:paraId="5F6ED285" w14:textId="77777777" w:rsidR="00B630EF" w:rsidRPr="00E94DC8" w:rsidRDefault="00B630EF" w:rsidP="00B630EF">
      <w:pPr>
        <w:keepNext/>
        <w:keepLines/>
        <w:spacing w:after="0" w:line="240" w:lineRule="auto"/>
        <w:rPr>
          <w:rFonts w:asciiTheme="majorBidi" w:hAnsiTheme="majorBidi" w:cstheme="majorBidi"/>
          <w:szCs w:val="22"/>
          <w:lang w:val="fr-FR" w:eastAsia="zh-CN"/>
        </w:rPr>
      </w:pPr>
    </w:p>
    <w:p w14:paraId="398F2E54" w14:textId="77777777" w:rsidR="00B630EF" w:rsidRPr="00E94DC8" w:rsidRDefault="00B630EF" w:rsidP="00B630EF">
      <w:pPr>
        <w:spacing w:after="0" w:line="240" w:lineRule="auto"/>
        <w:rPr>
          <w:rFonts w:asciiTheme="majorBidi" w:hAnsiTheme="majorBidi" w:cstheme="majorBidi"/>
          <w:szCs w:val="22"/>
          <w:shd w:val="pct15" w:color="auto" w:fill="FFFFFF"/>
          <w:lang w:val="fr-FR" w:eastAsia="zh-CN"/>
        </w:rPr>
      </w:pPr>
      <w:r w:rsidRPr="00E94DC8">
        <w:rPr>
          <w:rFonts w:asciiTheme="majorBidi" w:hAnsiTheme="majorBidi" w:cstheme="majorBidi"/>
          <w:szCs w:val="22"/>
          <w:shd w:val="pct15" w:color="auto" w:fill="FFFFFF"/>
          <w:lang w:val="fr-FR" w:eastAsia="zh-CN"/>
        </w:rPr>
        <w:t>Exigence 8.5 : Des lignes directrices pour la mise en œuvre de la gestion de la qualité sont définies et mises à la disposition du public.</w:t>
      </w:r>
    </w:p>
    <w:p w14:paraId="44F12994" w14:textId="1EBD41CC" w:rsidR="00B630EF" w:rsidRPr="00E94DC8" w:rsidRDefault="00B630EF" w:rsidP="00B630EF">
      <w:pPr>
        <w:numPr>
          <w:ilvl w:val="0"/>
          <w:numId w:val="14"/>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Des lignes directrices pour la mise en œuvre de la gestion de la qualité sont produites et publiées, et :</w:t>
      </w:r>
    </w:p>
    <w:p w14:paraId="72D4DD2B" w14:textId="77777777" w:rsidR="00B630EF" w:rsidRPr="00E94DC8" w:rsidRDefault="00B630EF" w:rsidP="00B630EF">
      <w:pPr>
        <w:numPr>
          <w:ilvl w:val="1"/>
          <w:numId w:val="14"/>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Décrivent les principes de qualité et le cadre suivi</w:t>
      </w:r>
    </w:p>
    <w:p w14:paraId="6B35A29F" w14:textId="77777777" w:rsidR="00B630EF" w:rsidRPr="00E94DC8" w:rsidRDefault="00B630EF" w:rsidP="00B630EF">
      <w:pPr>
        <w:numPr>
          <w:ilvl w:val="1"/>
          <w:numId w:val="14"/>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Décrivent l’ensemble du processus statistique et identifient la documentation pertinente pour chaque étape de la production</w:t>
      </w:r>
    </w:p>
    <w:p w14:paraId="03AC8C1A" w14:textId="77777777" w:rsidR="00B630EF" w:rsidRPr="00E94DC8" w:rsidRDefault="00B630EF" w:rsidP="00B630EF">
      <w:pPr>
        <w:numPr>
          <w:ilvl w:val="1"/>
          <w:numId w:val="14"/>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Décrivent les méthodes de contrôle de la qualité à chaque étape du processus de production statistique</w:t>
      </w:r>
    </w:p>
    <w:p w14:paraId="0D8768F0" w14:textId="77777777" w:rsidR="00B630EF" w:rsidRPr="00E94DC8" w:rsidRDefault="00B630EF" w:rsidP="00B630EF">
      <w:pPr>
        <w:numPr>
          <w:ilvl w:val="1"/>
          <w:numId w:val="14"/>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lastRenderedPageBreak/>
        <w:t>Identifient les indicateurs (mesures de qualité) permettant d’évaluer la qualité des principales étapes de la production, notamment les indicateurs pour les données sources</w:t>
      </w:r>
    </w:p>
    <w:p w14:paraId="1ED1681A" w14:textId="77777777" w:rsidR="00B630EF" w:rsidRPr="00E94DC8" w:rsidRDefault="00B630EF" w:rsidP="00B630EF">
      <w:pPr>
        <w:numPr>
          <w:ilvl w:val="0"/>
          <w:numId w:val="14"/>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lignes directrices, les manuels méthodologiques et les manuels sur les pratiques recommandées en matière d’assurance de la qualité sont mis à la disposition du public.</w:t>
      </w:r>
    </w:p>
    <w:p w14:paraId="629367AA" w14:textId="77777777" w:rsidR="00B630EF" w:rsidRPr="00E94DC8" w:rsidRDefault="00B630EF" w:rsidP="00B630EF">
      <w:pPr>
        <w:numPr>
          <w:ilvl w:val="0"/>
          <w:numId w:val="14"/>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Des mécanismes sont en place pour assurer la qualité de la collecte de données (notamment l’utilisation de données administratives et d’autres sources) et de l’édition des données.</w:t>
      </w:r>
    </w:p>
    <w:p w14:paraId="4BFCC3C4" w14:textId="77777777" w:rsidR="00B630EF" w:rsidRPr="00E94DC8" w:rsidRDefault="00B630EF" w:rsidP="00B630EF">
      <w:pPr>
        <w:spacing w:after="0" w:line="240" w:lineRule="auto"/>
        <w:rPr>
          <w:rFonts w:asciiTheme="majorBidi" w:hAnsiTheme="majorBidi" w:cstheme="majorBidi"/>
          <w:szCs w:val="22"/>
          <w:lang w:val="fr-FR" w:eastAsia="zh-CN"/>
        </w:rPr>
      </w:pPr>
    </w:p>
    <w:p w14:paraId="3AEF1C55" w14:textId="40F922CD" w:rsidR="00B630EF" w:rsidRPr="00E94DC8" w:rsidRDefault="00B630EF" w:rsidP="00B630EF">
      <w:pPr>
        <w:keepNext/>
        <w:keepLines/>
        <w:spacing w:after="0" w:line="240" w:lineRule="auto"/>
        <w:rPr>
          <w:rFonts w:asciiTheme="majorBidi" w:hAnsiTheme="majorBidi" w:cstheme="majorBidi"/>
          <w:szCs w:val="22"/>
          <w:shd w:val="pct15" w:color="auto" w:fill="FFFFFF"/>
          <w:lang w:val="fr-FR" w:eastAsia="zh-CN"/>
        </w:rPr>
      </w:pPr>
      <w:r w:rsidRPr="00E94DC8">
        <w:rPr>
          <w:rFonts w:asciiTheme="majorBidi" w:hAnsiTheme="majorBidi" w:cstheme="majorBidi"/>
          <w:szCs w:val="22"/>
          <w:lang w:val="fr-FR" w:eastAsia="zh-CN"/>
        </w:rPr>
        <w:t xml:space="preserve">Exigence 10.1 : </w:t>
      </w:r>
      <w:r w:rsidRPr="00E94DC8">
        <w:rPr>
          <w:rFonts w:asciiTheme="majorBidi" w:hAnsiTheme="majorBidi" w:cstheme="majorBidi"/>
          <w:szCs w:val="22"/>
          <w:shd w:val="pct15" w:color="auto" w:fill="FFFFFF"/>
          <w:lang w:val="fr-FR" w:eastAsia="zh-CN"/>
        </w:rPr>
        <w:t>Les méthodologies appliquées par les organismes statistiques sont conformes aux normes, lignes directrices et bonnes pratiques internationales et sont régulièrement revues et révisées selon les besoins.</w:t>
      </w:r>
    </w:p>
    <w:p w14:paraId="021EB276" w14:textId="77777777" w:rsidR="00B630EF" w:rsidRPr="00E94DC8" w:rsidRDefault="00B630EF" w:rsidP="00B630EF">
      <w:pPr>
        <w:keepNext/>
        <w:keepLines/>
        <w:numPr>
          <w:ilvl w:val="0"/>
          <w:numId w:val="13"/>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structures organisationnelles adéquates sont mises en place pour le développement et l’application de méthodes statistiques solides.</w:t>
      </w:r>
    </w:p>
    <w:p w14:paraId="6EB11A94" w14:textId="77777777" w:rsidR="00B630EF" w:rsidRPr="00E94DC8" w:rsidRDefault="00B630EF" w:rsidP="00B630EF">
      <w:pPr>
        <w:keepNext/>
        <w:keepLines/>
        <w:numPr>
          <w:ilvl w:val="0"/>
          <w:numId w:val="13"/>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Des processus d’évaluation et production de rapports sont en place, permettant à la direction de l’organisme statistique de s’assurer que des approches méthodologiques judicieuses ont été adoptées et appliquées tout au long du processus de production.</w:t>
      </w:r>
    </w:p>
    <w:p w14:paraId="1B558513" w14:textId="77777777" w:rsidR="00B630EF" w:rsidRPr="00E94DC8" w:rsidRDefault="00B630EF" w:rsidP="00B630EF">
      <w:pPr>
        <w:numPr>
          <w:ilvl w:val="0"/>
          <w:numId w:val="13"/>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méthodologies d’enquêtes et l’utilisation de données administratives et d’autres sources de données sont évaluées périodiquement.</w:t>
      </w:r>
    </w:p>
    <w:p w14:paraId="3ADEE446" w14:textId="77777777" w:rsidR="00B630EF" w:rsidRPr="00E94DC8" w:rsidRDefault="00B630EF" w:rsidP="00B630EF">
      <w:pPr>
        <w:numPr>
          <w:ilvl w:val="0"/>
          <w:numId w:val="13"/>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 plan d’échantillonnage repose sur une méthodologie solide.</w:t>
      </w:r>
    </w:p>
    <w:p w14:paraId="13E81804" w14:textId="77777777" w:rsidR="00B630EF" w:rsidRPr="00E94DC8" w:rsidRDefault="00B630EF" w:rsidP="00B630EF">
      <w:pPr>
        <w:numPr>
          <w:ilvl w:val="0"/>
          <w:numId w:val="13"/>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Des procédures de suivi appropriées sont prévues et mises en œuvre en cas de non-réponse.</w:t>
      </w:r>
    </w:p>
    <w:p w14:paraId="49EE08FA" w14:textId="77777777" w:rsidR="00B630EF" w:rsidRPr="00E94DC8" w:rsidRDefault="00B630EF" w:rsidP="00B630EF">
      <w:pPr>
        <w:numPr>
          <w:ilvl w:val="0"/>
          <w:numId w:val="13"/>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procédures d’édition statistique et les méthodes d’imputation reposent sur une méthodologie solide.</w:t>
      </w:r>
    </w:p>
    <w:p w14:paraId="4BDB2926" w14:textId="77777777" w:rsidR="00B630EF" w:rsidRPr="00E94DC8" w:rsidRDefault="00B630EF" w:rsidP="00B630EF">
      <w:pPr>
        <w:numPr>
          <w:ilvl w:val="0"/>
          <w:numId w:val="13"/>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Lorsque la modélisation statistique est utilisée dans le processus de production statistique (par exemple, pour la désaisonnalisation), la validité des hypothèses du modèle est soigneusement prise en compte et l’impact sur les estimations finales est évalué.</w:t>
      </w:r>
    </w:p>
    <w:p w14:paraId="31C677D7" w14:textId="77777777" w:rsidR="00B630EF" w:rsidRPr="00E94DC8" w:rsidRDefault="00B630EF" w:rsidP="00B630EF">
      <w:pPr>
        <w:numPr>
          <w:ilvl w:val="0"/>
          <w:numId w:val="13"/>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organismes statistiques examinent les méthodes utilisées par les partenaires externes pour la compilation des données et la production des statistiques.</w:t>
      </w:r>
    </w:p>
    <w:p w14:paraId="25F02F33" w14:textId="77777777" w:rsidR="00B630EF" w:rsidRPr="00E94DC8" w:rsidRDefault="00B630EF" w:rsidP="00B630EF">
      <w:pPr>
        <w:spacing w:after="0" w:line="240" w:lineRule="auto"/>
        <w:rPr>
          <w:rFonts w:asciiTheme="majorBidi" w:hAnsiTheme="majorBidi" w:cstheme="majorBidi"/>
          <w:szCs w:val="22"/>
          <w:lang w:val="fr-FR" w:eastAsia="zh-CN"/>
        </w:rPr>
      </w:pPr>
    </w:p>
    <w:p w14:paraId="0A4F84EF" w14:textId="77777777" w:rsidR="00B630EF" w:rsidRPr="00E94DC8" w:rsidRDefault="00B630EF" w:rsidP="00B630EF">
      <w:p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 xml:space="preserve">Exigence 10.3 : </w:t>
      </w:r>
      <w:r w:rsidRPr="00E94DC8">
        <w:rPr>
          <w:rFonts w:asciiTheme="majorBidi" w:hAnsiTheme="majorBidi" w:cstheme="majorBidi"/>
          <w:szCs w:val="22"/>
          <w:shd w:val="pct15" w:color="auto" w:fill="FFFFFF"/>
          <w:lang w:val="fr-FR" w:eastAsia="zh-CN"/>
        </w:rPr>
        <w:t>Les organismes statistiques choisissent les sources de données en tenant compte de l’exactitude et de la fiabilité, de l’actualité, des coûts, de la charge pour les répondants et d’autres considérations nécessaires</w:t>
      </w:r>
      <w:r w:rsidRPr="00E94DC8">
        <w:rPr>
          <w:rFonts w:asciiTheme="majorBidi" w:hAnsiTheme="majorBidi" w:cstheme="majorBidi"/>
          <w:szCs w:val="22"/>
          <w:lang w:val="fr-FR" w:eastAsia="zh-CN"/>
        </w:rPr>
        <w:t>.</w:t>
      </w:r>
    </w:p>
    <w:p w14:paraId="27AB6A4A" w14:textId="77777777" w:rsidR="00B630EF" w:rsidRPr="00E94DC8" w:rsidRDefault="00B630EF" w:rsidP="00B630EF">
      <w:pPr>
        <w:numPr>
          <w:ilvl w:val="0"/>
          <w:numId w:val="7"/>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L’utilisation de sources de données alternatives, y compris les enquêtes et recensements existants, les données administratives, les mégadonnées ou autres sources de données, est constamment évaluée.</w:t>
      </w:r>
    </w:p>
    <w:p w14:paraId="76196BD3" w14:textId="1227AD71" w:rsidR="00B630EF" w:rsidRPr="00E94DC8" w:rsidRDefault="00B630EF" w:rsidP="00B630EF">
      <w:pPr>
        <w:numPr>
          <w:ilvl w:val="0"/>
          <w:numId w:val="7"/>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La qualité doit être évaluée lors de l’utilisation de données administratives91 ou d’autres sources de données. Idéalement, lors de l’utilisation de données administratives, il convient de s’assurer que :</w:t>
      </w:r>
    </w:p>
    <w:p w14:paraId="484A80C7" w14:textId="77777777" w:rsidR="00B630EF" w:rsidRPr="00E94DC8" w:rsidRDefault="00B630EF" w:rsidP="00B630EF">
      <w:pPr>
        <w:numPr>
          <w:ilvl w:val="1"/>
          <w:numId w:val="7"/>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La population répond aux exigences en matière de production statistique</w:t>
      </w:r>
    </w:p>
    <w:p w14:paraId="6D3B2756" w14:textId="77777777" w:rsidR="00B630EF" w:rsidRPr="00E94DC8" w:rsidRDefault="00B630EF" w:rsidP="00B630EF">
      <w:pPr>
        <w:numPr>
          <w:ilvl w:val="1"/>
          <w:numId w:val="7"/>
        </w:numPr>
        <w:spacing w:after="0" w:line="240" w:lineRule="auto"/>
        <w:rPr>
          <w:rFonts w:asciiTheme="majorBidi" w:hAnsiTheme="majorBidi" w:cstheme="majorBidi"/>
          <w:szCs w:val="22"/>
          <w:lang w:val="en-US" w:eastAsia="zh-CN"/>
        </w:rPr>
      </w:pPr>
      <w:r w:rsidRPr="00E94DC8">
        <w:rPr>
          <w:rFonts w:asciiTheme="majorBidi" w:hAnsiTheme="majorBidi" w:cstheme="majorBidi"/>
          <w:szCs w:val="22"/>
          <w:lang w:val="en-US" w:eastAsia="zh-CN"/>
        </w:rPr>
        <w:t>Les classifications sont appropriées</w:t>
      </w:r>
    </w:p>
    <w:p w14:paraId="1160EE4E" w14:textId="77777777" w:rsidR="00B630EF" w:rsidRPr="00E94DC8" w:rsidRDefault="00B630EF" w:rsidP="00B630EF">
      <w:pPr>
        <w:numPr>
          <w:ilvl w:val="1"/>
          <w:numId w:val="7"/>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concepts sous-jacents sont appropriés</w:t>
      </w:r>
    </w:p>
    <w:p w14:paraId="4EA2D4B7" w14:textId="77777777" w:rsidR="00B630EF" w:rsidRPr="00E94DC8" w:rsidRDefault="00B630EF" w:rsidP="00B630EF">
      <w:pPr>
        <w:numPr>
          <w:ilvl w:val="1"/>
          <w:numId w:val="7"/>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dossiers sont complets et à jour</w:t>
      </w:r>
    </w:p>
    <w:p w14:paraId="57C75B07" w14:textId="77777777" w:rsidR="00B630EF" w:rsidRPr="00E94DC8" w:rsidRDefault="00B630EF" w:rsidP="00B630EF">
      <w:pPr>
        <w:numPr>
          <w:ilvl w:val="1"/>
          <w:numId w:val="7"/>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La couverture géographique est complète et les unités de mesure sont définies/identifiées de manière appropriée</w:t>
      </w:r>
    </w:p>
    <w:p w14:paraId="15FC00A0" w14:textId="77777777" w:rsidR="00B630EF" w:rsidRPr="00E94DC8" w:rsidRDefault="00B630EF" w:rsidP="00B630EF">
      <w:pPr>
        <w:numPr>
          <w:ilvl w:val="0"/>
          <w:numId w:val="7"/>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Lors de l’utilisation d’autres sources de données (comme les mégadonnées), les défis méthodologiques spécifiques tels que ceux liés à la population statistique et la véracité et la volatilité de telles données doivent être pris en compte.</w:t>
      </w:r>
    </w:p>
    <w:p w14:paraId="7FB0AEDF" w14:textId="77777777" w:rsidR="00B630EF" w:rsidRPr="00E94DC8" w:rsidRDefault="00B630EF" w:rsidP="00B630EF">
      <w:pPr>
        <w:spacing w:after="0" w:line="240" w:lineRule="auto"/>
        <w:rPr>
          <w:rFonts w:asciiTheme="majorBidi" w:hAnsiTheme="majorBidi" w:cstheme="majorBidi"/>
          <w:szCs w:val="22"/>
          <w:lang w:val="fr-FR" w:eastAsia="zh-CN"/>
        </w:rPr>
      </w:pPr>
    </w:p>
    <w:p w14:paraId="38319C6B" w14:textId="7C6B9DB5" w:rsidR="00B630EF" w:rsidRPr="00E94DC8" w:rsidRDefault="00B630EF" w:rsidP="00B630EF">
      <w:pPr>
        <w:spacing w:after="0" w:line="240" w:lineRule="auto"/>
        <w:rPr>
          <w:rFonts w:asciiTheme="majorBidi" w:hAnsiTheme="majorBidi" w:cstheme="majorBidi"/>
          <w:szCs w:val="22"/>
          <w:shd w:val="pct15" w:color="auto" w:fill="FFFFFF"/>
          <w:lang w:val="fr-FR" w:eastAsia="zh-CN"/>
        </w:rPr>
      </w:pPr>
      <w:r w:rsidRPr="00E94DC8">
        <w:rPr>
          <w:rFonts w:asciiTheme="majorBidi" w:hAnsiTheme="majorBidi" w:cstheme="majorBidi"/>
          <w:szCs w:val="22"/>
          <w:lang w:val="fr-FR" w:eastAsia="zh-CN"/>
        </w:rPr>
        <w:t xml:space="preserve">Exigence 10.5 : </w:t>
      </w:r>
      <w:r w:rsidRPr="00E94DC8">
        <w:rPr>
          <w:rFonts w:asciiTheme="majorBidi" w:hAnsiTheme="majorBidi" w:cstheme="majorBidi"/>
          <w:szCs w:val="22"/>
          <w:shd w:val="pct15" w:color="auto" w:fill="FFFFFF"/>
          <w:lang w:val="fr-FR" w:eastAsia="zh-CN"/>
        </w:rPr>
        <w:t>Les organismes statistiques coopèrent avec la communauté scientifique pour améliorer les méthodes et promouvoir l’innovation dans l’élaboration, la production et la diffusion des statistiques.</w:t>
      </w:r>
    </w:p>
    <w:p w14:paraId="624A9501" w14:textId="77777777" w:rsidR="00B630EF" w:rsidRPr="00E94DC8" w:rsidRDefault="00B630EF" w:rsidP="00B630EF">
      <w:pPr>
        <w:numPr>
          <w:ilvl w:val="0"/>
          <w:numId w:val="8"/>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 xml:space="preserve">La collaboration avec la communauté scientifique est en place, par exemple dans le cadre de conférences, d’ateliers, de groupes de travail et de formations/cours, afin d’examiner les </w:t>
      </w:r>
      <w:r w:rsidRPr="00E94DC8">
        <w:rPr>
          <w:rFonts w:asciiTheme="majorBidi" w:hAnsiTheme="majorBidi" w:cstheme="majorBidi"/>
          <w:szCs w:val="22"/>
          <w:lang w:val="fr-FR" w:eastAsia="zh-CN"/>
        </w:rPr>
        <w:lastRenderedPageBreak/>
        <w:t>évolutions méthodologiques et technologiques pertinentes (par exemple concernant l’exploitation de nouvelles sources de données).</w:t>
      </w:r>
    </w:p>
    <w:p w14:paraId="624322ED" w14:textId="77777777" w:rsidR="00B630EF" w:rsidRPr="00E94DC8" w:rsidRDefault="00B630EF" w:rsidP="00B630EF">
      <w:pPr>
        <w:numPr>
          <w:ilvl w:val="0"/>
          <w:numId w:val="8"/>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Des accords ont été conclus avec des établissements universitaires en matière de coopération et d’échange de personnel qualifié.</w:t>
      </w:r>
    </w:p>
    <w:p w14:paraId="449FB697" w14:textId="77777777" w:rsidR="00B630EF" w:rsidRPr="00E94DC8" w:rsidRDefault="00B630EF" w:rsidP="00B630EF">
      <w:pPr>
        <w:numPr>
          <w:ilvl w:val="0"/>
          <w:numId w:val="8"/>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 personnel collabore sur des questions méthodologiques avec des collègues au niveau international.</w:t>
      </w:r>
    </w:p>
    <w:p w14:paraId="3E2C8630" w14:textId="77777777" w:rsidR="00B630EF" w:rsidRPr="00E94DC8" w:rsidRDefault="00B630EF" w:rsidP="00B630EF">
      <w:pPr>
        <w:numPr>
          <w:ilvl w:val="0"/>
          <w:numId w:val="8"/>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Une participation et des présentations régulières aux conférences nationales et internationales pertinentes sont encouragées pour l’échange de connaissances et d’expériences.</w:t>
      </w:r>
    </w:p>
    <w:p w14:paraId="4D24B647" w14:textId="77777777" w:rsidR="00B630EF" w:rsidRPr="00E94DC8" w:rsidRDefault="00B630EF" w:rsidP="00B630EF">
      <w:pPr>
        <w:numPr>
          <w:ilvl w:val="0"/>
          <w:numId w:val="8"/>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organismes statistiques organisent des conférences, séminaires, ateliers ou manifestations analogues aux niveaux national et international, avec la participation de la communauté scientifique.</w:t>
      </w:r>
    </w:p>
    <w:p w14:paraId="1471AFA4" w14:textId="77777777" w:rsidR="00B630EF" w:rsidRPr="00E94DC8" w:rsidRDefault="00B630EF" w:rsidP="00B630EF">
      <w:pPr>
        <w:spacing w:after="0" w:line="240" w:lineRule="auto"/>
        <w:rPr>
          <w:rFonts w:asciiTheme="majorBidi" w:hAnsiTheme="majorBidi" w:cstheme="majorBidi"/>
          <w:szCs w:val="22"/>
          <w:lang w:val="fr-FR" w:eastAsia="zh-CN"/>
        </w:rPr>
      </w:pPr>
    </w:p>
    <w:p w14:paraId="686BE4FE" w14:textId="77777777" w:rsidR="00B630EF" w:rsidRPr="00E94DC8" w:rsidRDefault="00B630EF" w:rsidP="00B630EF">
      <w:pPr>
        <w:spacing w:after="0" w:line="240" w:lineRule="auto"/>
        <w:rPr>
          <w:rFonts w:asciiTheme="majorBidi" w:hAnsiTheme="majorBidi" w:cstheme="majorBidi"/>
          <w:szCs w:val="22"/>
          <w:shd w:val="pct15" w:color="auto" w:fill="FFFFFF"/>
          <w:lang w:val="fr-FR" w:eastAsia="zh-CN"/>
        </w:rPr>
      </w:pPr>
      <w:r w:rsidRPr="00E94DC8">
        <w:rPr>
          <w:rFonts w:asciiTheme="majorBidi" w:hAnsiTheme="majorBidi" w:cstheme="majorBidi"/>
          <w:szCs w:val="22"/>
          <w:lang w:val="fr-FR" w:eastAsia="zh-CN"/>
        </w:rPr>
        <w:t xml:space="preserve">Exigence 11.1 : </w:t>
      </w:r>
      <w:r w:rsidRPr="00E94DC8">
        <w:rPr>
          <w:rFonts w:asciiTheme="majorBidi" w:hAnsiTheme="majorBidi" w:cstheme="majorBidi"/>
          <w:szCs w:val="22"/>
          <w:shd w:val="pct15" w:color="auto" w:fill="FFFFFF"/>
          <w:lang w:val="fr-FR" w:eastAsia="zh-CN"/>
        </w:rPr>
        <w:t>Les coûts de production de toutes les statistiques officielles sont mesurés et analysés, et des mécanismes sont en place pour assurer le rapport coût-efficacité des activités ou processus statistiques.</w:t>
      </w:r>
    </w:p>
    <w:p w14:paraId="0E3CC9E1" w14:textId="77777777" w:rsidR="00B630EF" w:rsidRPr="00E94DC8" w:rsidRDefault="00B630EF" w:rsidP="00B630EF">
      <w:pPr>
        <w:numPr>
          <w:ilvl w:val="0"/>
          <w:numId w:val="20"/>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Il existe un système d’enregistrement des coûts et des délais utilisés pour tous les produits statistiques, et l’estimation de la durée des principaux processus devrait être possible.</w:t>
      </w:r>
    </w:p>
    <w:p w14:paraId="4D197BE7" w14:textId="77777777" w:rsidR="00B630EF" w:rsidRPr="00E94DC8" w:rsidRDefault="00B630EF" w:rsidP="00B630EF">
      <w:pPr>
        <w:numPr>
          <w:ilvl w:val="0"/>
          <w:numId w:val="20"/>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coûts de la production de statistiques sont bien documentés à chaque étape du processus et sont régulièrement examinés et analysés à travers les produits statistiques afin d’évaluer l’efficacité de leur production.</w:t>
      </w:r>
    </w:p>
    <w:p w14:paraId="65B32B7A" w14:textId="77777777" w:rsidR="00B630EF" w:rsidRPr="00E94DC8" w:rsidRDefault="00B630EF" w:rsidP="00B630EF">
      <w:pPr>
        <w:numPr>
          <w:ilvl w:val="0"/>
          <w:numId w:val="20"/>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Des analyses coûts-avantages sont effectuées pour déterminer les compromis appropriés en termes de qualité des données.</w:t>
      </w:r>
    </w:p>
    <w:p w14:paraId="2597CA01" w14:textId="77777777" w:rsidR="00B630EF" w:rsidRPr="00E94DC8" w:rsidRDefault="00B630EF" w:rsidP="00B630EF">
      <w:pPr>
        <w:numPr>
          <w:ilvl w:val="0"/>
          <w:numId w:val="20"/>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 rapport coût-efficacité de chaque enquête statistique est évalué.</w:t>
      </w:r>
    </w:p>
    <w:p w14:paraId="4B2D444E" w14:textId="77777777" w:rsidR="00B630EF" w:rsidRPr="00E94DC8" w:rsidRDefault="00B630EF" w:rsidP="00B630EF">
      <w:pPr>
        <w:numPr>
          <w:ilvl w:val="0"/>
          <w:numId w:val="20"/>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La nécessité de collecter chaque variable d’enquête est justifiée.</w:t>
      </w:r>
    </w:p>
    <w:p w14:paraId="22A24A2A" w14:textId="77777777" w:rsidR="00B630EF" w:rsidRPr="00E94DC8" w:rsidRDefault="00B630EF" w:rsidP="00B630EF">
      <w:pPr>
        <w:numPr>
          <w:ilvl w:val="0"/>
          <w:numId w:val="20"/>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Il existe un processus d’examen continu qui permet de déterminer si un programme particulier fonctionne toujours de la manière la plus rentable pour répondre aux exigences énoncées.</w:t>
      </w:r>
    </w:p>
    <w:p w14:paraId="47040154" w14:textId="77777777" w:rsidR="00B630EF" w:rsidRPr="00E94DC8" w:rsidRDefault="00B630EF" w:rsidP="00B630EF">
      <w:pPr>
        <w:numPr>
          <w:ilvl w:val="0"/>
          <w:numId w:val="20"/>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instruments de collecte de données sont conçus pour minimiser les coûts et les délais de codage et d’édition</w:t>
      </w:r>
    </w:p>
    <w:p w14:paraId="7FB3C5B5" w14:textId="77777777" w:rsidR="00B630EF" w:rsidRPr="00E94DC8" w:rsidRDefault="00B630EF" w:rsidP="00B630EF">
      <w:pPr>
        <w:spacing w:after="0" w:line="240" w:lineRule="auto"/>
        <w:rPr>
          <w:rFonts w:asciiTheme="majorBidi" w:hAnsiTheme="majorBidi" w:cstheme="majorBidi"/>
          <w:szCs w:val="22"/>
          <w:lang w:val="fr-FR" w:eastAsia="zh-CN"/>
        </w:rPr>
      </w:pPr>
    </w:p>
    <w:p w14:paraId="2EB4BAEC" w14:textId="77777777" w:rsidR="00B630EF" w:rsidRPr="00E94DC8" w:rsidRDefault="00B630EF" w:rsidP="00B630EF">
      <w:p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 xml:space="preserve">Exigence 11.2 : </w:t>
      </w:r>
      <w:r w:rsidRPr="00E94DC8">
        <w:rPr>
          <w:rFonts w:asciiTheme="majorBidi" w:hAnsiTheme="majorBidi" w:cstheme="majorBidi"/>
          <w:szCs w:val="22"/>
          <w:shd w:val="pct15" w:color="auto" w:fill="FFFFFF"/>
          <w:lang w:val="fr-FR" w:eastAsia="zh-CN"/>
        </w:rPr>
        <w:t>Des procédures existent pour évaluer et justifier les demandes de nouvelles statistiques par rapport à leur coût</w:t>
      </w:r>
      <w:r w:rsidRPr="00E94DC8">
        <w:rPr>
          <w:rFonts w:asciiTheme="majorBidi" w:hAnsiTheme="majorBidi" w:cstheme="majorBidi"/>
          <w:szCs w:val="22"/>
          <w:lang w:val="fr-FR" w:eastAsia="zh-CN"/>
        </w:rPr>
        <w:t>.</w:t>
      </w:r>
    </w:p>
    <w:p w14:paraId="6673C779" w14:textId="77777777" w:rsidR="00B630EF" w:rsidRPr="00E94DC8" w:rsidRDefault="00B630EF" w:rsidP="00B630EF">
      <w:pPr>
        <w:numPr>
          <w:ilvl w:val="0"/>
          <w:numId w:val="20"/>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demandes de nouvelles statistiques sont régulièrement enregistrées et évaluées par les experts en statistiques sur les approches méthodologiques proposées et les coûts associés, et sont partagées avec la direction en fonction des informations fournies par les utilisateurs et en coopération avec d’autres parties prenantes.</w:t>
      </w:r>
    </w:p>
    <w:p w14:paraId="02B861B3" w14:textId="77777777" w:rsidR="00B630EF" w:rsidRPr="00E94DC8" w:rsidRDefault="00B630EF" w:rsidP="00B630EF">
      <w:pPr>
        <w:numPr>
          <w:ilvl w:val="0"/>
          <w:numId w:val="20"/>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Avant d’envisager une nouvelle collecte de données, il existe des mécanismes permettant de vérifier si les sources de données déjà disponibles peuvent être utilisées avec un impact minimal sur leur objectif et leur qualité.</w:t>
      </w:r>
    </w:p>
    <w:p w14:paraId="7688C35A" w14:textId="77777777" w:rsidR="00B630EF" w:rsidRPr="00E94DC8" w:rsidRDefault="00B630EF" w:rsidP="00B630EF">
      <w:pPr>
        <w:numPr>
          <w:ilvl w:val="0"/>
          <w:numId w:val="20"/>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Lors de l’introduction de nouvelles statistiques, une analyse coûts-avantages est réalisée.</w:t>
      </w:r>
    </w:p>
    <w:p w14:paraId="77BB3DCB" w14:textId="77777777" w:rsidR="00B630EF" w:rsidRPr="00E94DC8" w:rsidRDefault="00B630EF" w:rsidP="00B630EF">
      <w:pPr>
        <w:spacing w:after="0" w:line="240" w:lineRule="auto"/>
        <w:rPr>
          <w:rFonts w:asciiTheme="majorBidi" w:hAnsiTheme="majorBidi" w:cstheme="majorBidi"/>
          <w:szCs w:val="22"/>
          <w:lang w:val="fr-FR" w:eastAsia="zh-CN"/>
        </w:rPr>
      </w:pPr>
    </w:p>
    <w:p w14:paraId="653E8D74" w14:textId="77777777" w:rsidR="00B630EF" w:rsidRPr="00E94DC8" w:rsidRDefault="00B630EF" w:rsidP="00B630EF">
      <w:p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 xml:space="preserve">Exigence 11.5 : </w:t>
      </w:r>
      <w:r w:rsidRPr="00E94DC8">
        <w:rPr>
          <w:rFonts w:asciiTheme="majorBidi" w:hAnsiTheme="majorBidi" w:cstheme="majorBidi"/>
          <w:szCs w:val="22"/>
          <w:shd w:val="pct15" w:color="auto" w:fill="FFFFFF"/>
          <w:lang w:val="fr-FR" w:eastAsia="zh-CN"/>
        </w:rPr>
        <w:t>Des efforts proactifs sont déployés pour améliorer le potentiel statistique des données administratives et d’autres sources de données</w:t>
      </w:r>
      <w:r w:rsidRPr="00E94DC8">
        <w:rPr>
          <w:rFonts w:asciiTheme="majorBidi" w:hAnsiTheme="majorBidi" w:cstheme="majorBidi"/>
          <w:szCs w:val="22"/>
          <w:lang w:val="fr-FR" w:eastAsia="zh-CN"/>
        </w:rPr>
        <w:t>.</w:t>
      </w:r>
    </w:p>
    <w:p w14:paraId="2BC58CF5" w14:textId="77777777" w:rsidR="00B630EF" w:rsidRPr="00E94DC8" w:rsidRDefault="00B630EF" w:rsidP="00B630EF">
      <w:pPr>
        <w:numPr>
          <w:ilvl w:val="0"/>
          <w:numId w:val="10"/>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organismes statistiques contribuent au processus législatif pour obtenir et conserver un accès aux sources de données administratives et autres sources de données à des fins statistiques, le cas échéant.</w:t>
      </w:r>
    </w:p>
    <w:p w14:paraId="54BD6978" w14:textId="77777777" w:rsidR="00B630EF" w:rsidRPr="00E94DC8" w:rsidRDefault="00B630EF" w:rsidP="00B630EF">
      <w:pPr>
        <w:numPr>
          <w:ilvl w:val="0"/>
          <w:numId w:val="10"/>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Des accords appropriés (accords de prestation de services ou législation nationale, par exemple) avec les propriétaires ou détenteurs de données administratives et d’autres collectes de données sont conclus et mis à jour en fonction des besoins, en précisant l’accès aux données et aux métadonnées, ainsi que d’autres aspects pertinents.</w:t>
      </w:r>
    </w:p>
    <w:p w14:paraId="018411F7" w14:textId="77777777" w:rsidR="00B630EF" w:rsidRPr="00E94DC8" w:rsidRDefault="00B630EF" w:rsidP="00B630EF">
      <w:pPr>
        <w:numPr>
          <w:ilvl w:val="0"/>
          <w:numId w:val="10"/>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Une évaluation des sources de données administratives possibles est effectuée avant le lancement de toute nouvelle enquête.</w:t>
      </w:r>
    </w:p>
    <w:p w14:paraId="42B1DD63" w14:textId="77777777" w:rsidR="00B630EF" w:rsidRPr="00E94DC8" w:rsidRDefault="00B630EF" w:rsidP="00B630EF">
      <w:pPr>
        <w:numPr>
          <w:ilvl w:val="0"/>
          <w:numId w:val="10"/>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lastRenderedPageBreak/>
        <w:t>Les méthodes d’appariement et d’intégration des données sont appliquées de manière proactive tout en garantissant la sécurité et la confidentialité des données.</w:t>
      </w:r>
    </w:p>
    <w:p w14:paraId="3C8702B2" w14:textId="77777777" w:rsidR="00B630EF" w:rsidRPr="00E94DC8" w:rsidRDefault="00B630EF" w:rsidP="00B630EF">
      <w:pPr>
        <w:numPr>
          <w:ilvl w:val="0"/>
          <w:numId w:val="10"/>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rapports sur la qualité des données administratives et autres sources de données utilisées pour les statistiques officielles sont élaborés par l’organisme statistique responsable en coopération avec le ou les propriétaires des données.</w:t>
      </w:r>
    </w:p>
    <w:p w14:paraId="227F42E7" w14:textId="77777777" w:rsidR="00B630EF" w:rsidRPr="00E94DC8" w:rsidRDefault="00B630EF" w:rsidP="00B630EF">
      <w:pPr>
        <w:spacing w:after="0" w:line="240" w:lineRule="auto"/>
        <w:rPr>
          <w:rFonts w:asciiTheme="majorBidi" w:hAnsiTheme="majorBidi" w:cstheme="majorBidi"/>
          <w:szCs w:val="22"/>
          <w:lang w:val="fr-FR" w:eastAsia="zh-CN"/>
        </w:rPr>
      </w:pPr>
    </w:p>
    <w:p w14:paraId="07366267" w14:textId="77777777" w:rsidR="00B630EF" w:rsidRPr="00E94DC8" w:rsidRDefault="00B630EF" w:rsidP="00B630EF">
      <w:pPr>
        <w:keepNext/>
        <w:keepLines/>
        <w:spacing w:after="0" w:line="240" w:lineRule="auto"/>
        <w:rPr>
          <w:rFonts w:asciiTheme="majorBidi" w:hAnsiTheme="majorBidi" w:cstheme="majorBidi"/>
          <w:szCs w:val="22"/>
          <w:shd w:val="pct15" w:color="auto" w:fill="FFFFFF"/>
          <w:lang w:val="fr-FR" w:eastAsia="zh-CN"/>
        </w:rPr>
      </w:pPr>
      <w:r w:rsidRPr="00E94DC8">
        <w:rPr>
          <w:rFonts w:asciiTheme="majorBidi" w:hAnsiTheme="majorBidi" w:cstheme="majorBidi"/>
          <w:szCs w:val="22"/>
          <w:lang w:val="fr-FR" w:eastAsia="zh-CN"/>
        </w:rPr>
        <w:t xml:space="preserve">Exigence 12.1 : </w:t>
      </w:r>
      <w:r w:rsidRPr="00E94DC8">
        <w:rPr>
          <w:rFonts w:asciiTheme="majorBidi" w:hAnsiTheme="majorBidi" w:cstheme="majorBidi"/>
          <w:szCs w:val="22"/>
          <w:shd w:val="pct15" w:color="auto" w:fill="FFFFFF"/>
          <w:lang w:val="fr-FR" w:eastAsia="zh-CN"/>
        </w:rPr>
        <w:t>Les processus statistiques sont testés avant leur mise en œuvre.</w:t>
      </w:r>
    </w:p>
    <w:p w14:paraId="4C69ABA9" w14:textId="77777777" w:rsidR="00B630EF" w:rsidRPr="00E94DC8" w:rsidRDefault="00B630EF" w:rsidP="00B630EF">
      <w:pPr>
        <w:keepNext/>
        <w:keepLines/>
        <w:numPr>
          <w:ilvl w:val="0"/>
          <w:numId w:val="11"/>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La stratégie de test est développée dans le cadre de la phase de conception du modèle générique des processus de production statistique.</w:t>
      </w:r>
    </w:p>
    <w:p w14:paraId="0CEB4C9D" w14:textId="77777777" w:rsidR="00B630EF" w:rsidRPr="00E94DC8" w:rsidRDefault="00B630EF" w:rsidP="00B630EF">
      <w:pPr>
        <w:keepNext/>
        <w:keepLines/>
        <w:numPr>
          <w:ilvl w:val="0"/>
          <w:numId w:val="11"/>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procédures de saisie des données et les outils et instruments de collecte des données tels que les systèmes électroniques sont testés pour garantir la simplicité et une intrusion minimale dans la vie privée, et sont ajustés si nécessaire avant leur mise en œuvre.</w:t>
      </w:r>
    </w:p>
    <w:p w14:paraId="39E6CAD3" w14:textId="77777777" w:rsidR="00B630EF" w:rsidRPr="00E94DC8" w:rsidRDefault="00B630EF" w:rsidP="00B630EF">
      <w:pPr>
        <w:keepNext/>
        <w:keepLines/>
        <w:numPr>
          <w:ilvl w:val="0"/>
          <w:numId w:val="11"/>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questionnaires d’enquête sont testés à l’aide de méthodes appropriées (enquête pilote, groupes de discussion, etc.)</w:t>
      </w:r>
    </w:p>
    <w:p w14:paraId="65FFC56F" w14:textId="77777777" w:rsidR="00B630EF" w:rsidRPr="00E94DC8" w:rsidRDefault="00B630EF" w:rsidP="00B630EF">
      <w:pPr>
        <w:keepNext/>
        <w:keepLines/>
        <w:numPr>
          <w:ilvl w:val="0"/>
          <w:numId w:val="11"/>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systèmes de collecte de données administratives et autres sources de données sont testés avant d’être utilisés.</w:t>
      </w:r>
    </w:p>
    <w:p w14:paraId="204629CA" w14:textId="77777777" w:rsidR="00B630EF" w:rsidRPr="00E94DC8" w:rsidRDefault="00B630EF" w:rsidP="00B630EF">
      <w:pPr>
        <w:keepNext/>
        <w:keepLines/>
        <w:numPr>
          <w:ilvl w:val="0"/>
          <w:numId w:val="11"/>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 traitement des données et les procédures de traitement des données sont testés et ajustés, le cas échéant, avant leur application effective.</w:t>
      </w:r>
    </w:p>
    <w:p w14:paraId="3EBDE487" w14:textId="77777777" w:rsidR="00B630EF" w:rsidRPr="00E94DC8" w:rsidRDefault="00B630EF" w:rsidP="00B630EF">
      <w:pPr>
        <w:keepNext/>
        <w:keepLines/>
        <w:numPr>
          <w:ilvl w:val="0"/>
          <w:numId w:val="11"/>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résultats des tests sont pris en compte dans la mise en œuvre du processus de production et sont approuvés.</w:t>
      </w:r>
    </w:p>
    <w:p w14:paraId="15F4E716" w14:textId="77777777" w:rsidR="00B630EF" w:rsidRPr="00E94DC8" w:rsidRDefault="00B630EF" w:rsidP="00B630EF">
      <w:pPr>
        <w:keepNext/>
        <w:keepLines/>
        <w:numPr>
          <w:ilvl w:val="0"/>
          <w:numId w:val="11"/>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Dans le cas de l’intégration de données provenant d’une ou de plusieurs sources, la qualité des procédures de couplage est testée.</w:t>
      </w:r>
    </w:p>
    <w:p w14:paraId="6F51FAE0" w14:textId="77777777" w:rsidR="00B630EF" w:rsidRPr="00E94DC8" w:rsidRDefault="00B630EF" w:rsidP="00B630EF">
      <w:pPr>
        <w:spacing w:after="0" w:line="240" w:lineRule="auto"/>
        <w:rPr>
          <w:rFonts w:asciiTheme="majorBidi" w:hAnsiTheme="majorBidi" w:cstheme="majorBidi"/>
          <w:szCs w:val="22"/>
          <w:lang w:val="fr-FR" w:eastAsia="zh-CN"/>
        </w:rPr>
      </w:pPr>
    </w:p>
    <w:p w14:paraId="371252F2" w14:textId="77777777" w:rsidR="00B630EF" w:rsidRPr="00E94DC8" w:rsidRDefault="00B630EF" w:rsidP="00B630EF">
      <w:pPr>
        <w:keepNext/>
        <w:keepLines/>
        <w:spacing w:after="0" w:line="240" w:lineRule="auto"/>
        <w:rPr>
          <w:rFonts w:asciiTheme="majorBidi" w:hAnsiTheme="majorBidi" w:cstheme="majorBidi"/>
          <w:szCs w:val="22"/>
          <w:shd w:val="pct15" w:color="auto" w:fill="FFFFFF"/>
          <w:lang w:val="fr-FR" w:eastAsia="zh-CN"/>
        </w:rPr>
      </w:pPr>
      <w:r w:rsidRPr="00E94DC8">
        <w:rPr>
          <w:rFonts w:asciiTheme="majorBidi" w:hAnsiTheme="majorBidi" w:cstheme="majorBidi"/>
          <w:szCs w:val="22"/>
          <w:lang w:val="fr-FR" w:eastAsia="zh-CN"/>
        </w:rPr>
        <w:t xml:space="preserve">Exigence 12.2 : </w:t>
      </w:r>
      <w:r w:rsidRPr="00E94DC8">
        <w:rPr>
          <w:rFonts w:asciiTheme="majorBidi" w:hAnsiTheme="majorBidi" w:cstheme="majorBidi"/>
          <w:szCs w:val="22"/>
          <w:shd w:val="pct15" w:color="auto" w:fill="FFFFFF"/>
          <w:lang w:val="fr-FR" w:eastAsia="zh-CN"/>
        </w:rPr>
        <w:t>Les processus statistiques sont bien établis et régulièrement contrôlés et révisés selon les besoins.</w:t>
      </w:r>
    </w:p>
    <w:p w14:paraId="5504D339" w14:textId="77777777" w:rsidR="00B630EF" w:rsidRPr="00E94DC8" w:rsidRDefault="00B630EF" w:rsidP="00B630EF">
      <w:pPr>
        <w:keepNext/>
        <w:keepLines/>
        <w:numPr>
          <w:ilvl w:val="0"/>
          <w:numId w:val="18"/>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organismes statistiques disposent de procédures et de lignes directrices documentées contenant des recommandations sur les méthodologies appropriées aux différentes étapes du processus de production statistique.</w:t>
      </w:r>
    </w:p>
    <w:p w14:paraId="35280C39" w14:textId="77777777" w:rsidR="00B630EF" w:rsidRPr="00E94DC8" w:rsidRDefault="00B630EF" w:rsidP="00B630EF">
      <w:pPr>
        <w:numPr>
          <w:ilvl w:val="0"/>
          <w:numId w:val="18"/>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La documentation des processus de production devrait suivre le modèle GSBPM.</w:t>
      </w:r>
    </w:p>
    <w:p w14:paraId="5C69AA5E" w14:textId="77777777" w:rsidR="00B630EF" w:rsidRPr="00E94DC8" w:rsidRDefault="00B630EF" w:rsidP="00B630EF">
      <w:pPr>
        <w:numPr>
          <w:ilvl w:val="0"/>
          <w:numId w:val="18"/>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Une politique d’archivage des données et statistiques est en place et suivie.</w:t>
      </w:r>
    </w:p>
    <w:p w14:paraId="5CB9B2CF" w14:textId="77777777" w:rsidR="00B630EF" w:rsidRPr="00E94DC8" w:rsidRDefault="00B630EF" w:rsidP="00B630EF">
      <w:pPr>
        <w:numPr>
          <w:ilvl w:val="0"/>
          <w:numId w:val="18"/>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procédures statistiques utilisent des techniques statistiques reconnues sur le plan international.</w:t>
      </w:r>
    </w:p>
    <w:p w14:paraId="5B0DA728" w14:textId="77777777" w:rsidR="00B630EF" w:rsidRPr="00E94DC8" w:rsidRDefault="00B630EF" w:rsidP="00B630EF">
      <w:pPr>
        <w:numPr>
          <w:ilvl w:val="0"/>
          <w:numId w:val="18"/>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données de toutes sources sont examinées et validées pour identifier les problèmes, erreurs et divergences potentiels comme les valeurs aberrantes, les données manquantes et les erreurs de codage.</w:t>
      </w:r>
    </w:p>
    <w:p w14:paraId="35D2A251" w14:textId="77777777" w:rsidR="00B630EF" w:rsidRPr="00E94DC8" w:rsidRDefault="00B630EF" w:rsidP="00B630EF">
      <w:pPr>
        <w:numPr>
          <w:ilvl w:val="0"/>
          <w:numId w:val="18"/>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Lorsque le codage est effectué selon un processus automatisé, une équipe de codeurs bien formés est chargée de vérifier le codage automatisé et de traiter les cas non codés.</w:t>
      </w:r>
    </w:p>
    <w:p w14:paraId="6CA9CFC5" w14:textId="77777777" w:rsidR="00B630EF" w:rsidRPr="00E94DC8" w:rsidRDefault="00B630EF" w:rsidP="00B630EF">
      <w:pPr>
        <w:numPr>
          <w:ilvl w:val="0"/>
          <w:numId w:val="18"/>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effets de l’édition et de l’imputation des données sont analysés dans le cadre de l’évaluation de la qualité de la collecte de données.</w:t>
      </w:r>
    </w:p>
    <w:p w14:paraId="4994AA4F" w14:textId="77777777" w:rsidR="00B630EF" w:rsidRPr="00E94DC8" w:rsidRDefault="00B630EF" w:rsidP="00B630EF">
      <w:pPr>
        <w:numPr>
          <w:ilvl w:val="0"/>
          <w:numId w:val="18"/>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Toutes les bases de données statistiques sont conçues et organisées de manière à permettre et à faciliter le couplage des données, en utilisant des identifiants uniques pour les unités statistiques, le cas échéant, tout en garantissant la sécurité et la confidentialité des données.</w:t>
      </w:r>
    </w:p>
    <w:p w14:paraId="67566859" w14:textId="77777777" w:rsidR="00B630EF" w:rsidRPr="00E94DC8" w:rsidRDefault="00B630EF" w:rsidP="00B630EF">
      <w:pPr>
        <w:spacing w:after="0" w:line="240" w:lineRule="auto"/>
        <w:rPr>
          <w:rFonts w:asciiTheme="majorBidi" w:hAnsiTheme="majorBidi" w:cstheme="majorBidi"/>
          <w:szCs w:val="22"/>
          <w:lang w:val="fr-FR" w:eastAsia="zh-CN"/>
        </w:rPr>
      </w:pPr>
    </w:p>
    <w:p w14:paraId="78EDFB64" w14:textId="77777777" w:rsidR="00B630EF" w:rsidRPr="00E94DC8" w:rsidRDefault="00B630EF" w:rsidP="00B630EF">
      <w:pPr>
        <w:spacing w:after="0" w:line="240" w:lineRule="auto"/>
        <w:rPr>
          <w:rFonts w:asciiTheme="majorBidi" w:hAnsiTheme="majorBidi" w:cstheme="majorBidi"/>
          <w:szCs w:val="22"/>
          <w:shd w:val="pct15" w:color="auto" w:fill="FFFFFF"/>
          <w:lang w:val="fr-FR" w:eastAsia="zh-CN"/>
        </w:rPr>
      </w:pPr>
      <w:r w:rsidRPr="00E94DC8">
        <w:rPr>
          <w:rFonts w:asciiTheme="majorBidi" w:hAnsiTheme="majorBidi" w:cstheme="majorBidi"/>
          <w:szCs w:val="22"/>
          <w:lang w:val="fr-FR" w:eastAsia="zh-CN"/>
        </w:rPr>
        <w:t xml:space="preserve">Exigence 12.3 : </w:t>
      </w:r>
      <w:r w:rsidRPr="00E94DC8">
        <w:rPr>
          <w:rFonts w:asciiTheme="majorBidi" w:hAnsiTheme="majorBidi" w:cstheme="majorBidi"/>
          <w:szCs w:val="22"/>
          <w:shd w:val="pct15" w:color="auto" w:fill="FFFFFF"/>
          <w:lang w:val="fr-FR" w:eastAsia="zh-CN"/>
        </w:rPr>
        <w:t>Des procédures sont en place pour utiliser efficacement les sources de données administratives et autres sources de données à des fins statistiques.</w:t>
      </w:r>
    </w:p>
    <w:p w14:paraId="5CD21C18" w14:textId="77777777" w:rsidR="00B630EF" w:rsidRPr="00E94DC8" w:rsidRDefault="00B630EF" w:rsidP="00B630EF">
      <w:pPr>
        <w:numPr>
          <w:ilvl w:val="0"/>
          <w:numId w:val="18"/>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organismes statistiques utilisent des outils et lignes directrices pour évaluer la qualité des données de sources administratives et autres sources.</w:t>
      </w:r>
    </w:p>
    <w:p w14:paraId="038CACCC" w14:textId="77777777" w:rsidR="00B630EF" w:rsidRPr="00E94DC8" w:rsidRDefault="00B630EF" w:rsidP="00B630EF">
      <w:pPr>
        <w:numPr>
          <w:ilvl w:val="0"/>
          <w:numId w:val="18"/>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Des processus et progiciels appropriés pour la collecte, le traitement et l’analyse des données de sources administratives et autres sources sont développés et mis en œuvre.</w:t>
      </w:r>
    </w:p>
    <w:p w14:paraId="46CDCD0D" w14:textId="77777777" w:rsidR="00B630EF" w:rsidRPr="00E94DC8" w:rsidRDefault="00B630EF" w:rsidP="00B630EF">
      <w:pPr>
        <w:numPr>
          <w:ilvl w:val="0"/>
          <w:numId w:val="18"/>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lastRenderedPageBreak/>
        <w:t>Les propriétaires ou détenteurs des données de sources administratives et autres sources informent les organismes statistiques de tout changement dans le processus de production des données.</w:t>
      </w:r>
    </w:p>
    <w:p w14:paraId="60403560" w14:textId="77777777" w:rsidR="00B630EF" w:rsidRPr="00E94DC8" w:rsidRDefault="00B630EF" w:rsidP="00B630EF">
      <w:pPr>
        <w:numPr>
          <w:ilvl w:val="0"/>
          <w:numId w:val="18"/>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métadonnées relatives aux sources de données administratives ou autres sources à la disposition des organismes statistiques, notamment les concepts et définitions, les classifications, la couverture par rapport à la population cible et d’autres aspects qualitatifs.</w:t>
      </w:r>
    </w:p>
    <w:p w14:paraId="1A4C92EC" w14:textId="77777777" w:rsidR="00B630EF" w:rsidRPr="00E94DC8" w:rsidRDefault="00B630EF" w:rsidP="00B630EF">
      <w:pPr>
        <w:numPr>
          <w:ilvl w:val="0"/>
          <w:numId w:val="18"/>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Il existe une documentation décrivant comment les données provenant de sources de données administratives et autres sources répondent aux exigences statistiques en termes de définitions, de concepts et de couverture, entre autres.</w:t>
      </w:r>
    </w:p>
    <w:p w14:paraId="06AD228F" w14:textId="77777777" w:rsidR="00B630EF" w:rsidRPr="00E94DC8" w:rsidRDefault="00B630EF" w:rsidP="00B630EF">
      <w:pPr>
        <w:spacing w:after="0" w:line="240" w:lineRule="auto"/>
        <w:rPr>
          <w:rFonts w:asciiTheme="majorBidi" w:hAnsiTheme="majorBidi" w:cstheme="majorBidi"/>
          <w:szCs w:val="22"/>
          <w:lang w:val="fr-FR" w:eastAsia="zh-CN"/>
        </w:rPr>
      </w:pPr>
    </w:p>
    <w:p w14:paraId="3B136B9E" w14:textId="77777777" w:rsidR="00B630EF" w:rsidRPr="00E94DC8" w:rsidRDefault="00B630EF" w:rsidP="00B630EF">
      <w:pPr>
        <w:spacing w:after="0" w:line="240" w:lineRule="auto"/>
        <w:rPr>
          <w:rFonts w:asciiTheme="majorBidi" w:hAnsiTheme="majorBidi" w:cstheme="majorBidi"/>
          <w:szCs w:val="22"/>
          <w:shd w:val="pct15" w:color="auto" w:fill="FFFFFF"/>
          <w:lang w:val="fr-FR" w:eastAsia="zh-CN"/>
        </w:rPr>
      </w:pPr>
      <w:r w:rsidRPr="00E94DC8">
        <w:rPr>
          <w:rFonts w:asciiTheme="majorBidi" w:hAnsiTheme="majorBidi" w:cstheme="majorBidi"/>
          <w:szCs w:val="22"/>
          <w:lang w:val="fr-FR" w:eastAsia="zh-CN"/>
        </w:rPr>
        <w:t xml:space="preserve">Exigence 12.5 : </w:t>
      </w:r>
      <w:r w:rsidRPr="00E94DC8">
        <w:rPr>
          <w:rFonts w:asciiTheme="majorBidi" w:hAnsiTheme="majorBidi" w:cstheme="majorBidi"/>
          <w:szCs w:val="22"/>
          <w:shd w:val="pct15" w:color="auto" w:fill="FFFFFF"/>
          <w:lang w:val="fr-FR" w:eastAsia="zh-CN"/>
        </w:rPr>
        <w:t>Les métadonnées et la documentation des méthodes et des différents processus statistiques sont gérées tout au long des processus et partagées comme il convient.</w:t>
      </w:r>
    </w:p>
    <w:p w14:paraId="7314518E" w14:textId="77777777" w:rsidR="00B630EF" w:rsidRPr="00E94DC8" w:rsidRDefault="00B630EF" w:rsidP="00B630EF">
      <w:pPr>
        <w:numPr>
          <w:ilvl w:val="0"/>
          <w:numId w:val="12"/>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Il existe une politique sur la documentation des métadonnées liée aux processus de production statistique.</w:t>
      </w:r>
    </w:p>
    <w:p w14:paraId="6D89A786" w14:textId="77777777" w:rsidR="00B630EF" w:rsidRPr="00E94DC8" w:rsidRDefault="00B630EF" w:rsidP="00B630EF">
      <w:pPr>
        <w:numPr>
          <w:ilvl w:val="0"/>
          <w:numId w:val="12"/>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politiques et normes de révision et de mise à jour des métadonnées sont suivies.</w:t>
      </w:r>
    </w:p>
    <w:p w14:paraId="54ECB218" w14:textId="77777777" w:rsidR="00B630EF" w:rsidRPr="00E94DC8" w:rsidRDefault="00B630EF" w:rsidP="00B630EF">
      <w:pPr>
        <w:numPr>
          <w:ilvl w:val="0"/>
          <w:numId w:val="12"/>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travaux de préparation des statistiques et des métadonnées associées devraient être effectués en parallèle.</w:t>
      </w:r>
    </w:p>
    <w:p w14:paraId="17792AA6" w14:textId="77777777" w:rsidR="00B630EF" w:rsidRPr="00E94DC8" w:rsidRDefault="00B630EF" w:rsidP="00B630EF">
      <w:pPr>
        <w:numPr>
          <w:ilvl w:val="0"/>
          <w:numId w:val="12"/>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métadonnées sont saisies tout au long du processus opérationnel suivant le GSBPM et stockées dans un système de gestion de métadonnées.</w:t>
      </w:r>
    </w:p>
    <w:p w14:paraId="1E65D34F" w14:textId="77777777" w:rsidR="00B630EF" w:rsidRPr="00E94DC8" w:rsidRDefault="00B630EF" w:rsidP="00B630EF">
      <w:pPr>
        <w:numPr>
          <w:ilvl w:val="0"/>
          <w:numId w:val="12"/>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méthodes et processus statistiques sont documentés de manière à permettre de recréer l’ensemble du processus de production statistique.</w:t>
      </w:r>
    </w:p>
    <w:p w14:paraId="43684F99" w14:textId="77777777" w:rsidR="00B630EF" w:rsidRPr="00E94DC8" w:rsidRDefault="00B630EF" w:rsidP="00B630EF">
      <w:pPr>
        <w:spacing w:after="0" w:line="240" w:lineRule="auto"/>
        <w:rPr>
          <w:rFonts w:asciiTheme="majorBidi" w:hAnsiTheme="majorBidi" w:cstheme="majorBidi"/>
          <w:szCs w:val="22"/>
          <w:lang w:val="fr-FR" w:eastAsia="zh-CN"/>
        </w:rPr>
      </w:pPr>
    </w:p>
    <w:p w14:paraId="13C26884" w14:textId="77777777" w:rsidR="00B630EF" w:rsidRPr="00E94DC8" w:rsidRDefault="00B630EF" w:rsidP="00B630EF">
      <w:p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 xml:space="preserve">Exigence 13.4 : </w:t>
      </w:r>
      <w:r w:rsidRPr="00E94DC8">
        <w:rPr>
          <w:rFonts w:asciiTheme="majorBidi" w:hAnsiTheme="majorBidi" w:cstheme="majorBidi"/>
          <w:szCs w:val="22"/>
          <w:shd w:val="pct15" w:color="auto" w:fill="FFFFFF"/>
          <w:lang w:val="fr-FR" w:eastAsia="zh-CN"/>
        </w:rPr>
        <w:t>Le partage de données, le couplage de données et l’utilisation de sources de données administratives et autres sources de données sont encouragés afin de limiter au minimum la charge pour les répondants</w:t>
      </w:r>
      <w:r w:rsidRPr="00E94DC8">
        <w:rPr>
          <w:rFonts w:asciiTheme="majorBidi" w:hAnsiTheme="majorBidi" w:cstheme="majorBidi"/>
          <w:szCs w:val="22"/>
          <w:lang w:val="fr-FR" w:eastAsia="zh-CN"/>
        </w:rPr>
        <w:t>.</w:t>
      </w:r>
    </w:p>
    <w:p w14:paraId="243051D1" w14:textId="77777777" w:rsidR="00B630EF" w:rsidRPr="00E94DC8" w:rsidRDefault="00B630EF" w:rsidP="00B630EF">
      <w:pPr>
        <w:numPr>
          <w:ilvl w:val="0"/>
          <w:numId w:val="15"/>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La documentation des données déjà disponibles dans le SSN, notamment les données archivées, existe et est partagée.</w:t>
      </w:r>
    </w:p>
    <w:p w14:paraId="6CBF8BCD" w14:textId="77777777" w:rsidR="00B630EF" w:rsidRPr="00E94DC8" w:rsidRDefault="00B630EF" w:rsidP="00B630EF">
      <w:pPr>
        <w:numPr>
          <w:ilvl w:val="0"/>
          <w:numId w:val="15"/>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Il existe des procédures et des outils techniques pour le partage et le couplage de données au sein du SSN (accords formels, services Web, bases de données communes, par exemple).</w:t>
      </w:r>
    </w:p>
    <w:p w14:paraId="0B631F40" w14:textId="77777777" w:rsidR="00B630EF" w:rsidRPr="00E94DC8" w:rsidRDefault="00B630EF" w:rsidP="00B630EF">
      <w:pPr>
        <w:numPr>
          <w:ilvl w:val="0"/>
          <w:numId w:val="15"/>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entrepôts de données sont partagés entre les organismes statistiques pour la production de statistiques officielles et conformément aux politiques de confidentialité.</w:t>
      </w:r>
    </w:p>
    <w:p w14:paraId="74B2A3C0" w14:textId="77777777" w:rsidR="00B630EF" w:rsidRPr="00E94DC8" w:rsidRDefault="00B630EF" w:rsidP="00B630EF">
      <w:pPr>
        <w:numPr>
          <w:ilvl w:val="0"/>
          <w:numId w:val="15"/>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Des informations sur la qualité des données à coupler existent (par exemple, sur la couverture et les possibilités de couplage).</w:t>
      </w:r>
    </w:p>
    <w:p w14:paraId="04410439" w14:textId="77777777" w:rsidR="00B630EF" w:rsidRPr="00E94DC8" w:rsidRDefault="00B630EF" w:rsidP="00B630EF">
      <w:pPr>
        <w:numPr>
          <w:ilvl w:val="0"/>
          <w:numId w:val="15"/>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L’utilisation des données administratives et autres données comme alternative aux données d’enquête pour la production de statistiques officielles est encouragée dans tout le SSN</w:t>
      </w:r>
    </w:p>
    <w:p w14:paraId="4D4BC1C4" w14:textId="77777777" w:rsidR="00B630EF" w:rsidRPr="00E94DC8" w:rsidRDefault="00B630EF" w:rsidP="00B630EF">
      <w:pPr>
        <w:spacing w:after="0" w:line="240" w:lineRule="auto"/>
        <w:rPr>
          <w:rFonts w:asciiTheme="majorBidi" w:hAnsiTheme="majorBidi" w:cstheme="majorBidi"/>
          <w:szCs w:val="22"/>
          <w:lang w:val="fr-FR" w:eastAsia="zh-CN"/>
        </w:rPr>
      </w:pPr>
    </w:p>
    <w:p w14:paraId="6E556BD8" w14:textId="77777777" w:rsidR="00B630EF" w:rsidRPr="00E94DC8" w:rsidRDefault="00B630EF" w:rsidP="00B630EF">
      <w:p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 xml:space="preserve">Exigence 14.1 : </w:t>
      </w:r>
      <w:r w:rsidRPr="00E94DC8">
        <w:rPr>
          <w:rFonts w:asciiTheme="majorBidi" w:hAnsiTheme="majorBidi" w:cstheme="majorBidi"/>
          <w:szCs w:val="22"/>
          <w:shd w:val="pct15" w:color="auto" w:fill="FFFFFF"/>
          <w:lang w:val="fr-FR" w:eastAsia="zh-CN"/>
        </w:rPr>
        <w:t>Des procédures sont en place pour identifier les utilisateurs et leurs besoins et pour les consulter sur le contenu du programme de travail statistique</w:t>
      </w:r>
      <w:r w:rsidRPr="00E94DC8">
        <w:rPr>
          <w:rFonts w:asciiTheme="majorBidi" w:hAnsiTheme="majorBidi" w:cstheme="majorBidi"/>
          <w:szCs w:val="22"/>
          <w:lang w:val="fr-FR" w:eastAsia="zh-CN"/>
        </w:rPr>
        <w:t>.</w:t>
      </w:r>
    </w:p>
    <w:p w14:paraId="5E173008" w14:textId="77777777" w:rsidR="00B630EF" w:rsidRPr="00E94DC8" w:rsidRDefault="00B630EF" w:rsidP="00B630EF">
      <w:pPr>
        <w:numPr>
          <w:ilvl w:val="0"/>
          <w:numId w:val="16"/>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Il existe une législation ou autre disposition officielle prévoyant l’obligation de consulter les principaux utilisateurs de statistiques.</w:t>
      </w:r>
    </w:p>
    <w:p w14:paraId="3A9A98C5" w14:textId="77777777" w:rsidR="00B630EF" w:rsidRPr="00E94DC8" w:rsidRDefault="00B630EF" w:rsidP="00B630EF">
      <w:pPr>
        <w:numPr>
          <w:ilvl w:val="0"/>
          <w:numId w:val="16"/>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Des processus de consultation structurés et périodiques (tels que conseils consultatifs, comités ou groupes de travail) avec les principales parties prenantes et les utilisateurs sont en place pour examiner le contenu du programme statistique et l’utilité des statistiques existantes, ainsi que pour identifier les nouveaux besoins en statistiques.</w:t>
      </w:r>
    </w:p>
    <w:p w14:paraId="57E38CB1" w14:textId="77777777" w:rsidR="00B630EF" w:rsidRPr="00E94DC8" w:rsidRDefault="00B630EF" w:rsidP="00B630EF">
      <w:pPr>
        <w:numPr>
          <w:ilvl w:val="0"/>
          <w:numId w:val="16"/>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 retour d’information des utilisateurs par un service d’assistance aux utilisateur, d’un centre ou d’une ligne d’assistance sont analysés pour comprendre et identifier les besoins des utilisateurs.</w:t>
      </w:r>
    </w:p>
    <w:p w14:paraId="4F9934F2" w14:textId="77777777" w:rsidR="00B630EF" w:rsidRPr="00E94DC8" w:rsidRDefault="00B630EF" w:rsidP="00B630EF">
      <w:pPr>
        <w:numPr>
          <w:ilvl w:val="0"/>
          <w:numId w:val="16"/>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données sur l’utilisation des statistiques (par exemple, analyse Web, nombre et types de téléchargements, abonnés aux rapports) sont collectées et analysées pour améliorer les résultats statistiques.</w:t>
      </w:r>
    </w:p>
    <w:p w14:paraId="43910F2A" w14:textId="77777777" w:rsidR="00B630EF" w:rsidRPr="00E94DC8" w:rsidRDefault="00B630EF" w:rsidP="00B630EF">
      <w:pPr>
        <w:spacing w:after="0" w:line="240" w:lineRule="auto"/>
        <w:rPr>
          <w:rFonts w:asciiTheme="majorBidi" w:hAnsiTheme="majorBidi" w:cstheme="majorBidi"/>
          <w:szCs w:val="22"/>
          <w:lang w:val="fr-FR" w:eastAsia="zh-CN"/>
        </w:rPr>
      </w:pPr>
    </w:p>
    <w:p w14:paraId="2EFFA3A3" w14:textId="77777777" w:rsidR="00B630EF" w:rsidRPr="00E94DC8" w:rsidRDefault="00B630EF" w:rsidP="00B630EF">
      <w:p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lastRenderedPageBreak/>
        <w:t xml:space="preserve">Exigence 14.3 : </w:t>
      </w:r>
      <w:r w:rsidRPr="00E94DC8">
        <w:rPr>
          <w:rFonts w:asciiTheme="majorBidi" w:hAnsiTheme="majorBidi" w:cstheme="majorBidi"/>
          <w:szCs w:val="22"/>
          <w:shd w:val="pct15" w:color="auto" w:fill="FFFFFF"/>
          <w:lang w:val="fr-FR" w:eastAsia="zh-CN"/>
        </w:rPr>
        <w:t>Des statistiques basées sur des sources de données nouvelles et existantes sont élaborées pour répondre aux nouveaux besoins en informations de la société</w:t>
      </w:r>
      <w:r w:rsidRPr="00E94DC8">
        <w:rPr>
          <w:rFonts w:asciiTheme="majorBidi" w:hAnsiTheme="majorBidi" w:cstheme="majorBidi"/>
          <w:szCs w:val="22"/>
          <w:lang w:val="fr-FR" w:eastAsia="zh-CN"/>
        </w:rPr>
        <w:t>.</w:t>
      </w:r>
    </w:p>
    <w:p w14:paraId="203574D7" w14:textId="77777777" w:rsidR="00B630EF" w:rsidRPr="00E94DC8" w:rsidRDefault="00B630EF" w:rsidP="00B630EF">
      <w:pPr>
        <w:numPr>
          <w:ilvl w:val="0"/>
          <w:numId w:val="17"/>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Un laboratoire d’innovation est établi pour examiner et expérimenter de nouvelles sources de données afin de répondre aux nouveaux besoins en informations.</w:t>
      </w:r>
    </w:p>
    <w:p w14:paraId="3DD020AA" w14:textId="77777777" w:rsidR="00B630EF" w:rsidRPr="00E94DC8" w:rsidRDefault="00B630EF" w:rsidP="00B630EF">
      <w:pPr>
        <w:numPr>
          <w:ilvl w:val="0"/>
          <w:numId w:val="17"/>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Une coopération avec la communauté scientifique et les propriétaires ou détenteurs de nouvelles sources de données est établie pour expérimenter et exploiter ces sources de données.</w:t>
      </w:r>
    </w:p>
    <w:p w14:paraId="7481FB50" w14:textId="77777777" w:rsidR="00B630EF" w:rsidRPr="00E94DC8" w:rsidRDefault="00B630EF" w:rsidP="00B630EF">
      <w:pPr>
        <w:numPr>
          <w:ilvl w:val="0"/>
          <w:numId w:val="17"/>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possibilités d’exploitation de nouvelles sources de données sont régulièrement examinées par la direction.</w:t>
      </w:r>
    </w:p>
    <w:p w14:paraId="399318EF" w14:textId="77777777" w:rsidR="00B630EF" w:rsidRPr="00E94DC8" w:rsidRDefault="00B630EF" w:rsidP="00B630EF">
      <w:pPr>
        <w:spacing w:after="0" w:line="240" w:lineRule="auto"/>
        <w:rPr>
          <w:rFonts w:asciiTheme="majorBidi" w:hAnsiTheme="majorBidi" w:cstheme="majorBidi"/>
          <w:szCs w:val="22"/>
          <w:lang w:val="fr-FR" w:eastAsia="zh-CN"/>
        </w:rPr>
      </w:pPr>
    </w:p>
    <w:p w14:paraId="5B305FD1" w14:textId="77777777" w:rsidR="00B630EF" w:rsidRPr="00E94DC8" w:rsidRDefault="00B630EF" w:rsidP="00B630EF">
      <w:pPr>
        <w:spacing w:after="0" w:line="240" w:lineRule="auto"/>
        <w:rPr>
          <w:rFonts w:asciiTheme="majorBidi" w:hAnsiTheme="majorBidi" w:cstheme="majorBidi"/>
          <w:szCs w:val="22"/>
          <w:shd w:val="pct15" w:color="auto" w:fill="FFFFFF"/>
          <w:lang w:val="fr-FR" w:eastAsia="zh-CN"/>
        </w:rPr>
      </w:pPr>
      <w:r w:rsidRPr="00E94DC8">
        <w:rPr>
          <w:rFonts w:asciiTheme="majorBidi" w:hAnsiTheme="majorBidi" w:cstheme="majorBidi"/>
          <w:szCs w:val="22"/>
          <w:lang w:val="fr-FR" w:eastAsia="zh-CN"/>
        </w:rPr>
        <w:t xml:space="preserve">Exigence 14.4 : </w:t>
      </w:r>
      <w:r w:rsidRPr="00E94DC8">
        <w:rPr>
          <w:rFonts w:asciiTheme="majorBidi" w:hAnsiTheme="majorBidi" w:cstheme="majorBidi"/>
          <w:szCs w:val="22"/>
          <w:shd w:val="pct15" w:color="auto" w:fill="FFFFFF"/>
          <w:lang w:val="fr-FR" w:eastAsia="zh-CN"/>
        </w:rPr>
        <w:t>La satisfaction des utilisateurs est régulièrement mesurée et fait l’objet d’un suivi systématique.</w:t>
      </w:r>
    </w:p>
    <w:p w14:paraId="69D8AA58" w14:textId="77777777" w:rsidR="00B630EF" w:rsidRPr="00E94DC8" w:rsidRDefault="00B630EF" w:rsidP="00B630EF">
      <w:pPr>
        <w:numPr>
          <w:ilvl w:val="0"/>
          <w:numId w:val="17"/>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Des enquêtes de satisfaction et des études sur les utilisateurs sont régulièrement réalisées et analysées.</w:t>
      </w:r>
    </w:p>
    <w:p w14:paraId="380BCE82" w14:textId="77777777" w:rsidR="00B630EF" w:rsidRPr="00E94DC8" w:rsidRDefault="00B630EF" w:rsidP="00B630EF">
      <w:pPr>
        <w:numPr>
          <w:ilvl w:val="0"/>
          <w:numId w:val="17"/>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actions d’amélioration découlant des enquêtes de satisfaction des utilisateurs et des études sur les utilisateurs sont identifiées et mises en œuvre.</w:t>
      </w:r>
    </w:p>
    <w:p w14:paraId="37FE1137" w14:textId="77777777" w:rsidR="00B630EF" w:rsidRPr="00E94DC8" w:rsidRDefault="00B630EF" w:rsidP="00B630EF">
      <w:pPr>
        <w:numPr>
          <w:ilvl w:val="0"/>
          <w:numId w:val="17"/>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enquêtes de satisfaction des utilisateurs incluent des questions sur leur opinion concernant la disponibilité des métadonnées.</w:t>
      </w:r>
    </w:p>
    <w:p w14:paraId="28E74977" w14:textId="77777777" w:rsidR="00B630EF" w:rsidRPr="00E94DC8" w:rsidRDefault="00B630EF" w:rsidP="00B630EF">
      <w:pPr>
        <w:numPr>
          <w:ilvl w:val="0"/>
          <w:numId w:val="17"/>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Des mesures sont en place pour évaluer la satisfaction des principaux utilisateurs à l’égard de produits particuliers (par exemple, des enquêtes et des indicateurs spécifiques de la satisfaction des utilisateurs, notamment les délais, etc., au niveau des produits).</w:t>
      </w:r>
    </w:p>
    <w:p w14:paraId="4BFA35F1" w14:textId="77777777" w:rsidR="00B630EF" w:rsidRPr="00E94DC8" w:rsidRDefault="00B630EF" w:rsidP="00B630EF">
      <w:pPr>
        <w:spacing w:after="0" w:line="240" w:lineRule="auto"/>
        <w:rPr>
          <w:rFonts w:asciiTheme="majorBidi" w:hAnsiTheme="majorBidi" w:cstheme="majorBidi"/>
          <w:szCs w:val="22"/>
          <w:lang w:val="fr-FR" w:eastAsia="zh-CN"/>
        </w:rPr>
      </w:pPr>
    </w:p>
    <w:p w14:paraId="58F444FA" w14:textId="77777777" w:rsidR="00B630EF" w:rsidRPr="00E94DC8" w:rsidRDefault="00B630EF" w:rsidP="00B630EF">
      <w:p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 xml:space="preserve">Exigence 15.1 : </w:t>
      </w:r>
      <w:r w:rsidRPr="00E94DC8">
        <w:rPr>
          <w:rFonts w:asciiTheme="majorBidi" w:hAnsiTheme="majorBidi" w:cstheme="majorBidi"/>
          <w:szCs w:val="22"/>
          <w:shd w:val="pct15" w:color="auto" w:fill="FFFFFF"/>
          <w:lang w:val="fr-FR" w:eastAsia="zh-CN"/>
        </w:rPr>
        <w:t>Les données sources, les données intégrées, les résultats intermédiaires et les produits statistiques sont régulièrement évalués et validés</w:t>
      </w:r>
      <w:r w:rsidRPr="00E94DC8">
        <w:rPr>
          <w:rFonts w:asciiTheme="majorBidi" w:hAnsiTheme="majorBidi" w:cstheme="majorBidi"/>
          <w:szCs w:val="22"/>
          <w:lang w:val="fr-FR" w:eastAsia="zh-CN"/>
        </w:rPr>
        <w:t>.</w:t>
      </w:r>
    </w:p>
    <w:p w14:paraId="2E071046" w14:textId="77777777" w:rsidR="00B630EF" w:rsidRPr="00E94DC8" w:rsidRDefault="00B630EF" w:rsidP="00B630EF">
      <w:pPr>
        <w:numPr>
          <w:ilvl w:val="0"/>
          <w:numId w:val="17"/>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Des systèmes d’évaluation et de validation des données sources, des données intégrées, des résultats intermédiaires et des produits statistiques sont développés et gérés.</w:t>
      </w:r>
    </w:p>
    <w:p w14:paraId="60082505" w14:textId="77777777" w:rsidR="00B630EF" w:rsidRPr="00E94DC8" w:rsidRDefault="00B630EF" w:rsidP="00B630EF">
      <w:pPr>
        <w:numPr>
          <w:ilvl w:val="0"/>
          <w:numId w:val="17"/>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données sont systématiquement vérifiées et comparées aux données provenant d’autres sources et au fil du temps.</w:t>
      </w:r>
    </w:p>
    <w:p w14:paraId="3381179E" w14:textId="77777777" w:rsidR="00B630EF" w:rsidRPr="00E94DC8" w:rsidRDefault="00B630EF" w:rsidP="00B630EF">
      <w:pPr>
        <w:numPr>
          <w:ilvl w:val="0"/>
          <w:numId w:val="17"/>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produits statistiques sont comparés à d’autres informations existantes afin de s’assurer de leur validité.</w:t>
      </w:r>
    </w:p>
    <w:p w14:paraId="7A73EA54" w14:textId="77777777" w:rsidR="00B630EF" w:rsidRPr="00E94DC8" w:rsidRDefault="00B630EF" w:rsidP="00B630EF">
      <w:pPr>
        <w:spacing w:after="0" w:line="240" w:lineRule="auto"/>
        <w:rPr>
          <w:rFonts w:asciiTheme="majorBidi" w:hAnsiTheme="majorBidi" w:cstheme="majorBidi"/>
          <w:szCs w:val="22"/>
          <w:lang w:val="fr-FR" w:eastAsia="zh-CN"/>
        </w:rPr>
      </w:pPr>
    </w:p>
    <w:p w14:paraId="4BF181DD" w14:textId="77777777" w:rsidR="00B630EF" w:rsidRPr="00E94DC8" w:rsidRDefault="00B630EF" w:rsidP="00B630EF">
      <w:p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 xml:space="preserve">Exigence 15.3 : </w:t>
      </w:r>
      <w:r w:rsidRPr="00E94DC8">
        <w:rPr>
          <w:rFonts w:asciiTheme="majorBidi" w:hAnsiTheme="majorBidi" w:cstheme="majorBidi"/>
          <w:szCs w:val="22"/>
          <w:shd w:val="pct15" w:color="auto" w:fill="FFFFFF"/>
          <w:lang w:val="fr-FR" w:eastAsia="zh-CN"/>
        </w:rPr>
        <w:t>Des études et analyses de révisions sont effectuées et utilisées pour améliorer les sources de données, les processus statistiques et les résultats</w:t>
      </w:r>
      <w:r w:rsidRPr="00E94DC8">
        <w:rPr>
          <w:rFonts w:asciiTheme="majorBidi" w:hAnsiTheme="majorBidi" w:cstheme="majorBidi"/>
          <w:szCs w:val="22"/>
          <w:lang w:val="fr-FR" w:eastAsia="zh-CN"/>
        </w:rPr>
        <w:t>.</w:t>
      </w:r>
    </w:p>
    <w:p w14:paraId="0B0FE41D" w14:textId="77777777" w:rsidR="00B630EF" w:rsidRPr="00E94DC8" w:rsidRDefault="00B630EF" w:rsidP="00B630EF">
      <w:pPr>
        <w:numPr>
          <w:ilvl w:val="0"/>
          <w:numId w:val="17"/>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données et statistiques préliminaires et révisées sont clairement identifiées.</w:t>
      </w:r>
    </w:p>
    <w:p w14:paraId="7BAEE46E" w14:textId="77777777" w:rsidR="00B630EF" w:rsidRPr="00E94DC8" w:rsidRDefault="00B630EF" w:rsidP="00B630EF">
      <w:pPr>
        <w:numPr>
          <w:ilvl w:val="0"/>
          <w:numId w:val="17"/>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Des explications sur le calendrier, les raisons et la nature des révisions sont disponibles.</w:t>
      </w:r>
    </w:p>
    <w:p w14:paraId="7F7E3D21" w14:textId="77777777" w:rsidR="00B630EF" w:rsidRPr="00E94DC8" w:rsidRDefault="00B630EF" w:rsidP="00B630EF">
      <w:pPr>
        <w:numPr>
          <w:ilvl w:val="0"/>
          <w:numId w:val="17"/>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La politique de révision suit des procédures standard et transparentes.</w:t>
      </w:r>
    </w:p>
    <w:p w14:paraId="28FC0DDB" w14:textId="77777777" w:rsidR="00B630EF" w:rsidRPr="00E94DC8" w:rsidRDefault="00B630EF" w:rsidP="00B630EF">
      <w:pPr>
        <w:numPr>
          <w:ilvl w:val="0"/>
          <w:numId w:val="17"/>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informations sur l’ampleur et l’orientation des révisions des indicateurs clés sont utilisées pour améliorer les processus statistiques.</w:t>
      </w:r>
    </w:p>
    <w:p w14:paraId="68AC4F91" w14:textId="77777777" w:rsidR="00B630EF" w:rsidRPr="00E94DC8" w:rsidRDefault="00B630EF" w:rsidP="00B630EF">
      <w:pPr>
        <w:numPr>
          <w:ilvl w:val="0"/>
          <w:numId w:val="17"/>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informations sur l’ampleur et l’orientation des révisions des indicateurs clés sont fournies et rendues publiques.</w:t>
      </w:r>
    </w:p>
    <w:p w14:paraId="357552AE" w14:textId="77777777" w:rsidR="00B630EF" w:rsidRPr="00E94DC8" w:rsidRDefault="00B630EF" w:rsidP="00B630EF">
      <w:pPr>
        <w:spacing w:after="0" w:line="240" w:lineRule="auto"/>
        <w:ind w:left="720"/>
        <w:rPr>
          <w:rFonts w:asciiTheme="majorBidi" w:hAnsiTheme="majorBidi" w:cstheme="majorBidi"/>
          <w:szCs w:val="22"/>
          <w:lang w:val="fr-FR" w:eastAsia="zh-CN"/>
        </w:rPr>
      </w:pPr>
    </w:p>
    <w:p w14:paraId="70F1B15A" w14:textId="77777777" w:rsidR="00B630EF" w:rsidRPr="00E94DC8" w:rsidRDefault="00B630EF" w:rsidP="00B630EF">
      <w:pPr>
        <w:spacing w:after="0" w:line="240" w:lineRule="auto"/>
        <w:rPr>
          <w:rFonts w:asciiTheme="majorBidi" w:hAnsiTheme="majorBidi" w:cstheme="majorBidi"/>
          <w:szCs w:val="22"/>
          <w:shd w:val="pct15" w:color="auto" w:fill="FFFFFF"/>
          <w:lang w:val="fr-FR" w:eastAsia="zh-CN"/>
        </w:rPr>
      </w:pPr>
      <w:r w:rsidRPr="00E94DC8">
        <w:rPr>
          <w:rFonts w:asciiTheme="majorBidi" w:hAnsiTheme="majorBidi" w:cstheme="majorBidi"/>
          <w:szCs w:val="22"/>
          <w:lang w:val="fr-FR" w:eastAsia="zh-CN"/>
        </w:rPr>
        <w:t xml:space="preserve">Exigence 16.2 : </w:t>
      </w:r>
      <w:r w:rsidRPr="00E94DC8">
        <w:rPr>
          <w:rFonts w:asciiTheme="majorBidi" w:hAnsiTheme="majorBidi" w:cstheme="majorBidi"/>
          <w:szCs w:val="22"/>
          <w:shd w:val="pct15" w:color="auto" w:fill="FFFFFF"/>
          <w:lang w:val="fr-FR" w:eastAsia="zh-CN"/>
        </w:rPr>
        <w:t>La relation avec les fournisseurs de données est gérée en tenant compte des besoins d’actualité et de ponctualité.</w:t>
      </w:r>
    </w:p>
    <w:p w14:paraId="032DC93A" w14:textId="77777777" w:rsidR="00B630EF" w:rsidRPr="00E94DC8" w:rsidRDefault="00B630EF" w:rsidP="00B630EF">
      <w:pPr>
        <w:numPr>
          <w:ilvl w:val="0"/>
          <w:numId w:val="17"/>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Des accords sont signés avec les fournisseurs de données sur les dates prévues et le format de livraison.</w:t>
      </w:r>
    </w:p>
    <w:p w14:paraId="0E8D6F8B" w14:textId="77777777" w:rsidR="00B630EF" w:rsidRPr="00E94DC8" w:rsidRDefault="00B630EF" w:rsidP="00B630EF">
      <w:pPr>
        <w:numPr>
          <w:ilvl w:val="0"/>
          <w:numId w:val="17"/>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Des procédures sont en place pour assurer la circulation efficace et opportune des données des fournisseurs vers les organismes statistiques.</w:t>
      </w:r>
    </w:p>
    <w:p w14:paraId="62FCE730" w14:textId="77777777" w:rsidR="00B630EF" w:rsidRPr="00E94DC8" w:rsidRDefault="00B630EF" w:rsidP="00B630EF">
      <w:pPr>
        <w:numPr>
          <w:ilvl w:val="0"/>
          <w:numId w:val="17"/>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Des procédures de suivi sont en place pour garantir la réception des données des fournisseurs en temps indiqué.</w:t>
      </w:r>
    </w:p>
    <w:p w14:paraId="1B3DF60E" w14:textId="77777777" w:rsidR="00B630EF" w:rsidRPr="00E94DC8" w:rsidRDefault="00B630EF" w:rsidP="00B630EF">
      <w:pPr>
        <w:spacing w:after="0" w:line="240" w:lineRule="auto"/>
        <w:rPr>
          <w:rFonts w:asciiTheme="majorBidi" w:hAnsiTheme="majorBidi" w:cstheme="majorBidi"/>
          <w:szCs w:val="22"/>
          <w:lang w:val="fr-FR" w:eastAsia="zh-CN"/>
        </w:rPr>
      </w:pPr>
    </w:p>
    <w:p w14:paraId="331533DB" w14:textId="77777777" w:rsidR="00B630EF" w:rsidRPr="00E94DC8" w:rsidRDefault="00B630EF" w:rsidP="00B630EF">
      <w:p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lastRenderedPageBreak/>
        <w:t xml:space="preserve">Exigence 17.4 : </w:t>
      </w:r>
      <w:r w:rsidRPr="00E94DC8">
        <w:rPr>
          <w:rFonts w:asciiTheme="majorBidi" w:hAnsiTheme="majorBidi" w:cstheme="majorBidi"/>
          <w:szCs w:val="22"/>
          <w:shd w:val="pct15" w:color="auto" w:fill="FFFFFF"/>
          <w:lang w:val="fr-FR" w:eastAsia="zh-CN"/>
        </w:rPr>
        <w:t>L’accès aux microdonnées est autorisé à des fins de recherche, sous réserve des règles et protocoles spécifiques en matière de confidentialité des statistiques qui sont publiés sur le site Web de l’organisme statistique</w:t>
      </w:r>
      <w:r w:rsidRPr="00E94DC8">
        <w:rPr>
          <w:rFonts w:asciiTheme="majorBidi" w:hAnsiTheme="majorBidi" w:cstheme="majorBidi"/>
          <w:szCs w:val="22"/>
          <w:lang w:val="fr-FR" w:eastAsia="zh-CN"/>
        </w:rPr>
        <w:t>.</w:t>
      </w:r>
    </w:p>
    <w:p w14:paraId="4F7317F3" w14:textId="77777777" w:rsidR="00B630EF" w:rsidRPr="00E94DC8" w:rsidRDefault="00B630EF" w:rsidP="00B630EF">
      <w:pPr>
        <w:numPr>
          <w:ilvl w:val="0"/>
          <w:numId w:val="17"/>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L’organisme statistique contrôle ou surveille l’accès des chercheurs aux microdonnées en fournissant celles-ci dans un environnement sécurisé.</w:t>
      </w:r>
    </w:p>
    <w:p w14:paraId="0D6A9262" w14:textId="77777777" w:rsidR="00B630EF" w:rsidRPr="00E94DC8" w:rsidRDefault="00B630EF" w:rsidP="00B630EF">
      <w:pPr>
        <w:numPr>
          <w:ilvl w:val="0"/>
          <w:numId w:val="17"/>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chercheurs sont régulièrement consultés sur l’efficacité des modalités d’accès aux microdonnées.</w:t>
      </w:r>
    </w:p>
    <w:p w14:paraId="4C7E698E" w14:textId="77777777" w:rsidR="00B630EF" w:rsidRPr="00E94DC8" w:rsidRDefault="00B630EF" w:rsidP="00B630EF">
      <w:pPr>
        <w:numPr>
          <w:ilvl w:val="0"/>
          <w:numId w:val="17"/>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Des installations d’accès à distance sont disponibles pour accéder aux microdonnées, avec les contrôles appropriés.</w:t>
      </w:r>
    </w:p>
    <w:p w14:paraId="28A45004" w14:textId="77777777" w:rsidR="00B630EF" w:rsidRPr="00E94DC8" w:rsidRDefault="00B630EF" w:rsidP="00B630EF">
      <w:pPr>
        <w:spacing w:after="0" w:line="240" w:lineRule="auto"/>
        <w:rPr>
          <w:rFonts w:asciiTheme="majorBidi" w:hAnsiTheme="majorBidi" w:cstheme="majorBidi"/>
          <w:szCs w:val="22"/>
          <w:lang w:val="fr-FR" w:eastAsia="zh-CN"/>
        </w:rPr>
      </w:pPr>
    </w:p>
    <w:p w14:paraId="429E84B7" w14:textId="77777777" w:rsidR="00B630EF" w:rsidRPr="00E94DC8" w:rsidRDefault="00B630EF" w:rsidP="00B630EF">
      <w:p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Exigence 18.2 : Des procédures ou lignes directrices sont en place pour assurer et surveiller la cohérence et l’homogénéité internes, intrasectorielles et intersectorielles.</w:t>
      </w:r>
    </w:p>
    <w:p w14:paraId="56564376" w14:textId="77777777" w:rsidR="00B630EF" w:rsidRPr="00E94DC8" w:rsidRDefault="00B630EF" w:rsidP="00B630EF">
      <w:pPr>
        <w:numPr>
          <w:ilvl w:val="0"/>
          <w:numId w:val="17"/>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statistiques dérivées de différentes sources ou ayant des périodicités différentes (par exemple, mensuelle, trimestrielle, annuelle) sont comparées et toute différence est expliquée et réconciliée, le cas échéant.</w:t>
      </w:r>
    </w:p>
    <w:p w14:paraId="4666DDAF" w14:textId="77777777" w:rsidR="00B630EF" w:rsidRPr="00E94DC8" w:rsidRDefault="00B630EF" w:rsidP="00B630EF">
      <w:pPr>
        <w:numPr>
          <w:ilvl w:val="0"/>
          <w:numId w:val="17"/>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La coopération et l’échange de connaissances entre les différents programmes et domaines statistiques sont encouragés.</w:t>
      </w:r>
    </w:p>
    <w:p w14:paraId="735357EA" w14:textId="77777777" w:rsidR="00B630EF" w:rsidRPr="00E94DC8" w:rsidRDefault="00B630EF" w:rsidP="00B630EF">
      <w:pPr>
        <w:numPr>
          <w:ilvl w:val="0"/>
          <w:numId w:val="17"/>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Des procédures et des lignes directrices spécifiques aux processus sont disponibles pour garantir la cohérence interne des produits.</w:t>
      </w:r>
    </w:p>
    <w:p w14:paraId="5F60A7F0" w14:textId="77777777" w:rsidR="00B630EF" w:rsidRPr="00E94DC8" w:rsidRDefault="00B630EF" w:rsidP="00B630EF">
      <w:pPr>
        <w:numPr>
          <w:ilvl w:val="0"/>
          <w:numId w:val="17"/>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Avant de commencer de nouvelles statistiques ou de nouveaux programmes statistiques, l’analyse de la relation conceptuelle et méthodologique avec les statistiques existantes est faite.</w:t>
      </w:r>
    </w:p>
    <w:p w14:paraId="1A178CD0" w14:textId="77777777" w:rsidR="00B630EF" w:rsidRPr="00E94DC8" w:rsidRDefault="00B630EF" w:rsidP="00B630EF">
      <w:pPr>
        <w:numPr>
          <w:ilvl w:val="0"/>
          <w:numId w:val="17"/>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produits statistiques sont comparés à ceux d’autres sources statistiques ou administratives fournissant des informations identiques ou similaires sur le même sujet, et les divergences sont identifiées et expliquées aux utilisateurs.</w:t>
      </w:r>
    </w:p>
    <w:p w14:paraId="1481CD40" w14:textId="77777777" w:rsidR="00B630EF" w:rsidRPr="00E94DC8" w:rsidRDefault="00B630EF" w:rsidP="00B630EF">
      <w:pPr>
        <w:numPr>
          <w:ilvl w:val="0"/>
          <w:numId w:val="17"/>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Des procédures ou lignes directrices internes sont élaborées afin d’assurer et de contrôler la cohérence et l’homogénéité internes.</w:t>
      </w:r>
    </w:p>
    <w:p w14:paraId="52ABC0E1" w14:textId="77777777" w:rsidR="00B630EF" w:rsidRPr="00E94DC8" w:rsidRDefault="00B630EF" w:rsidP="00B630EF">
      <w:pPr>
        <w:numPr>
          <w:ilvl w:val="0"/>
          <w:numId w:val="17"/>
        </w:numPr>
        <w:spacing w:after="0" w:line="240" w:lineRule="auto"/>
        <w:rPr>
          <w:rFonts w:asciiTheme="majorBidi" w:hAnsiTheme="majorBidi" w:cstheme="majorBidi"/>
          <w:szCs w:val="22"/>
          <w:lang w:val="en-US" w:eastAsia="zh-CN"/>
        </w:rPr>
      </w:pPr>
      <w:r w:rsidRPr="00E94DC8">
        <w:rPr>
          <w:rFonts w:asciiTheme="majorBidi" w:hAnsiTheme="majorBidi" w:cstheme="majorBidi"/>
          <w:szCs w:val="22"/>
          <w:lang w:val="fr-FR" w:eastAsia="zh-CN"/>
        </w:rPr>
        <w:t xml:space="preserve">Des procédures et des lignes directrices sont élaborées afin que les résultats de différentes sources puissent être combinés. </w:t>
      </w:r>
      <w:r w:rsidRPr="00E94DC8">
        <w:rPr>
          <w:rFonts w:asciiTheme="majorBidi" w:hAnsiTheme="majorBidi" w:cstheme="majorBidi"/>
          <w:szCs w:val="22"/>
          <w:lang w:val="en-US" w:eastAsia="zh-CN"/>
        </w:rPr>
        <w:t>La conformité est évaluée périodiquement.</w:t>
      </w:r>
    </w:p>
    <w:p w14:paraId="22134D29" w14:textId="77777777" w:rsidR="00B630EF" w:rsidRPr="00E94DC8" w:rsidRDefault="00B630EF" w:rsidP="00B630EF">
      <w:pPr>
        <w:spacing w:after="0" w:line="240" w:lineRule="auto"/>
        <w:rPr>
          <w:rFonts w:ascii="Times New Roman" w:hAnsi="Times New Roman" w:cs="Times New Roman"/>
          <w:sz w:val="24"/>
          <w:szCs w:val="24"/>
          <w:lang w:val="en-US" w:eastAsia="zh-CN"/>
        </w:rPr>
      </w:pPr>
    </w:p>
    <w:p w14:paraId="5983D411" w14:textId="77777777" w:rsidR="00B630EF" w:rsidRPr="00E94DC8" w:rsidRDefault="00B630EF" w:rsidP="00B630EF">
      <w:p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 xml:space="preserve">Exigence 19.2 : </w:t>
      </w:r>
      <w:r w:rsidRPr="00E94DC8">
        <w:rPr>
          <w:rFonts w:asciiTheme="majorBidi" w:hAnsiTheme="majorBidi" w:cstheme="majorBidi"/>
          <w:szCs w:val="22"/>
          <w:shd w:val="pct15" w:color="auto" w:fill="FFFFFF"/>
          <w:lang w:val="fr-FR" w:eastAsia="zh-CN"/>
        </w:rPr>
        <w:t>Les métadonnées sont documentées, archivées et diffusées conformément aux normes reconnues au niveau international</w:t>
      </w:r>
      <w:r w:rsidRPr="00E94DC8">
        <w:rPr>
          <w:rFonts w:asciiTheme="majorBidi" w:hAnsiTheme="majorBidi" w:cstheme="majorBidi"/>
          <w:szCs w:val="22"/>
          <w:lang w:val="fr-FR" w:eastAsia="zh-CN"/>
        </w:rPr>
        <w:t>.</w:t>
      </w:r>
    </w:p>
    <w:p w14:paraId="316B7687" w14:textId="77777777" w:rsidR="00B630EF" w:rsidRPr="00E94DC8" w:rsidRDefault="00B630EF" w:rsidP="00B630EF">
      <w:pPr>
        <w:numPr>
          <w:ilvl w:val="0"/>
          <w:numId w:val="17"/>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normes internationales, régionales, nationales ou internes sont utilisées pour la documentation, la gestion et l’archivage des métadonnées.</w:t>
      </w:r>
    </w:p>
    <w:p w14:paraId="02AEF788" w14:textId="77777777" w:rsidR="00B630EF" w:rsidRPr="00E94DC8" w:rsidRDefault="00B630EF" w:rsidP="00B630EF">
      <w:pPr>
        <w:numPr>
          <w:ilvl w:val="0"/>
          <w:numId w:val="17"/>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Des procédures sont en place pour garantir que les métadonnées sont documentées conformément aux systèmes de métadonnées normalisés et régulièrement mises à jour.</w:t>
      </w:r>
    </w:p>
    <w:p w14:paraId="0D5AD1C2" w14:textId="77777777" w:rsidR="00B630EF" w:rsidRPr="00E94DC8" w:rsidRDefault="00B630EF" w:rsidP="00B630EF">
      <w:pPr>
        <w:numPr>
          <w:ilvl w:val="0"/>
          <w:numId w:val="17"/>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Les métadonnées sont mises à disposition en même temps que les données et statistiques auxquelles elles se rapportent.</w:t>
      </w:r>
    </w:p>
    <w:p w14:paraId="702DBF8A" w14:textId="77777777" w:rsidR="00B630EF" w:rsidRPr="00E94DC8" w:rsidRDefault="00B630EF" w:rsidP="00B630EF">
      <w:pPr>
        <w:numPr>
          <w:ilvl w:val="0"/>
          <w:numId w:val="17"/>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La diffusion des métadonnées est adaptée aux différents besoins, tels que ceux des producteurs et utilisateurs de statistiques.</w:t>
      </w:r>
    </w:p>
    <w:p w14:paraId="261A0D97" w14:textId="77777777" w:rsidR="00B630EF" w:rsidRPr="00E94DC8" w:rsidRDefault="00B630EF" w:rsidP="00B630EF">
      <w:pPr>
        <w:numPr>
          <w:ilvl w:val="0"/>
          <w:numId w:val="17"/>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Un moyen systématique d’archivage des métadonnées est disponible, garantissant également que les métadonnées sont accessibles pour une réutilisation ultérieure.</w:t>
      </w:r>
    </w:p>
    <w:p w14:paraId="50882874" w14:textId="77777777" w:rsidR="00B630EF" w:rsidRPr="00E94DC8" w:rsidRDefault="00B630EF" w:rsidP="00B630EF">
      <w:pPr>
        <w:numPr>
          <w:ilvl w:val="0"/>
          <w:numId w:val="17"/>
        </w:numPr>
        <w:spacing w:after="0" w:line="240" w:lineRule="auto"/>
        <w:rPr>
          <w:rFonts w:asciiTheme="majorBidi" w:hAnsiTheme="majorBidi" w:cstheme="majorBidi"/>
          <w:szCs w:val="22"/>
          <w:lang w:val="fr-FR" w:eastAsia="zh-CN"/>
        </w:rPr>
      </w:pPr>
      <w:r w:rsidRPr="00E94DC8">
        <w:rPr>
          <w:rFonts w:asciiTheme="majorBidi" w:hAnsiTheme="majorBidi" w:cstheme="majorBidi"/>
          <w:szCs w:val="22"/>
          <w:lang w:val="fr-FR" w:eastAsia="zh-CN"/>
        </w:rPr>
        <w:t>Un glossaire des concepts statistiques est disponible pour le public.</w:t>
      </w:r>
    </w:p>
    <w:p w14:paraId="1C7E431F" w14:textId="0B576E9F" w:rsidR="00CE1364" w:rsidRPr="00B630EF" w:rsidRDefault="00CE1364">
      <w:pPr>
        <w:rPr>
          <w:rFonts w:asciiTheme="majorBidi" w:hAnsiTheme="majorBidi" w:cstheme="majorBidi"/>
          <w:b/>
          <w:color w:val="000000" w:themeColor="text1"/>
          <w:lang w:val="fr-FR"/>
        </w:rPr>
      </w:pPr>
    </w:p>
    <w:p w14:paraId="272ED71F" w14:textId="77777777" w:rsidR="00CE1364" w:rsidRDefault="005430FB">
      <w:pPr>
        <w:pStyle w:val="P68B1DB1-Normal30"/>
      </w:pPr>
      <w:r>
        <w:br w:type="page"/>
      </w:r>
    </w:p>
    <w:p w14:paraId="75C43A65" w14:textId="197CAD52" w:rsidR="00CE1364" w:rsidRDefault="005430FB">
      <w:pPr>
        <w:pStyle w:val="P68B1DB1-Normal30"/>
        <w:spacing w:after="0"/>
        <w:rPr>
          <w:color w:val="000000" w:themeColor="text1"/>
        </w:rPr>
      </w:pPr>
      <w:r>
        <w:lastRenderedPageBreak/>
        <w:t xml:space="preserve">Annexe 4: Cartographie des dix exigences </w:t>
      </w:r>
      <w:r w:rsidR="00CF56CC">
        <w:t xml:space="preserve">essentielles </w:t>
      </w:r>
      <w:r>
        <w:t>pour l’assurance qualité lors de l’utilisation de</w:t>
      </w:r>
      <w:r w:rsidR="00A94F9D">
        <w:t>s</w:t>
      </w:r>
      <w:r>
        <w:t xml:space="preserve"> données administratives et autres sources de données </w:t>
      </w:r>
      <w:r w:rsidR="00CF56CC">
        <w:t>avec</w:t>
      </w:r>
      <w:r>
        <w:t xml:space="preserve"> l’approche conceptuelle et </w:t>
      </w:r>
      <w:r w:rsidR="00A94F9D">
        <w:t xml:space="preserve">les </w:t>
      </w:r>
      <w:r>
        <w:t>exigences pertinentes du CN</w:t>
      </w:r>
      <w:r w:rsidR="00CF56CC">
        <w:t>A</w:t>
      </w:r>
      <w:r>
        <w:t>Q des Nations Unies</w:t>
      </w:r>
    </w:p>
    <w:p w14:paraId="04C118FF" w14:textId="4BAF9F7C" w:rsidR="00CE1364" w:rsidRDefault="00CE1364">
      <w:pPr>
        <w:keepNext/>
        <w:keepLines/>
        <w:spacing w:after="0"/>
        <w:outlineLvl w:val="1"/>
        <w:rPr>
          <w:rFonts w:asciiTheme="majorBidi" w:eastAsiaTheme="majorEastAsia" w:hAnsiTheme="majorBidi" w:cstheme="majorBidi"/>
          <w:color w:val="000000" w:themeColor="text1"/>
          <w:sz w:val="24"/>
        </w:rPr>
      </w:pPr>
    </w:p>
    <w:p w14:paraId="7B4897C5" w14:textId="1D78D7F9" w:rsidR="00CE1364" w:rsidRDefault="005430FB">
      <w:pPr>
        <w:pStyle w:val="P68B1DB1-Normal31"/>
        <w:keepNext/>
        <w:keepLines/>
        <w:spacing w:after="0"/>
        <w:outlineLvl w:val="1"/>
      </w:pPr>
      <w:r>
        <w:rPr>
          <w:b/>
        </w:rPr>
        <w:t>Le tableau 3</w:t>
      </w:r>
      <w:r>
        <w:t xml:space="preserve"> montre les liens </w:t>
      </w:r>
      <w:r w:rsidR="00CF56CC">
        <w:t xml:space="preserve">existants </w:t>
      </w:r>
      <w:r>
        <w:t xml:space="preserve">entre les dix exigences essentielles </w:t>
      </w:r>
      <w:r w:rsidR="00CF56CC">
        <w:t>pour</w:t>
      </w:r>
      <w:r>
        <w:t xml:space="preserve"> </w:t>
      </w:r>
      <w:r w:rsidR="00CF56CC">
        <w:t>l</w:t>
      </w:r>
      <w:r>
        <w:t>’assurance qualité (</w:t>
      </w:r>
      <w:r w:rsidR="00A94F9D">
        <w:t>AQ</w:t>
      </w:r>
      <w:r>
        <w:t xml:space="preserve">) </w:t>
      </w:r>
      <w:r w:rsidR="00CF56CC">
        <w:t xml:space="preserve">lors de </w:t>
      </w:r>
      <w:r>
        <w:t>l’utilisation de</w:t>
      </w:r>
      <w:r w:rsidR="00A94F9D">
        <w:t>s</w:t>
      </w:r>
      <w:r>
        <w:t xml:space="preserve"> données administratives et autres sources de données (AOS) et les exigences pertinentes du CN</w:t>
      </w:r>
      <w:r w:rsidR="00CF56CC">
        <w:t>A</w:t>
      </w:r>
      <w:r>
        <w:t>Q de</w:t>
      </w:r>
      <w:r w:rsidR="00CF56CC">
        <w:t xml:space="preserve">s Nations </w:t>
      </w:r>
      <w:r w:rsidR="00A94F9D">
        <w:t>U</w:t>
      </w:r>
      <w:r w:rsidR="00CF56CC">
        <w:t>nies,</w:t>
      </w:r>
      <w:r>
        <w:t xml:space="preserve"> selon l’approche conceptuelle. Le tableau montre ce qui est déjà couvert par le CN</w:t>
      </w:r>
      <w:r w:rsidR="00CF56CC">
        <w:t>AQ des Nations unies</w:t>
      </w:r>
      <w:r>
        <w:t xml:space="preserve"> et contribue </w:t>
      </w:r>
      <w:r w:rsidR="00CF56CC">
        <w:t>ainsi d’</w:t>
      </w:r>
      <w:r>
        <w:t>éviter le</w:t>
      </w:r>
      <w:r w:rsidR="00CF56CC">
        <w:t>s</w:t>
      </w:r>
      <w:r>
        <w:t xml:space="preserve"> double</w:t>
      </w:r>
      <w:r w:rsidR="00CF56CC">
        <w:t>s</w:t>
      </w:r>
      <w:r>
        <w:t xml:space="preserve"> </w:t>
      </w:r>
      <w:r w:rsidR="00CF56CC">
        <w:t>emplois</w:t>
      </w:r>
      <w:r>
        <w:t>. Il montre également des lacunes dans le CN</w:t>
      </w:r>
      <w:r w:rsidR="00CF56CC">
        <w:t>A</w:t>
      </w:r>
      <w:r>
        <w:t xml:space="preserve">Q des Nations </w:t>
      </w:r>
      <w:r w:rsidR="00A94F9D">
        <w:t>U</w:t>
      </w:r>
      <w:r>
        <w:t xml:space="preserve">nies en ce qui concerne l’AQ pour les données administratives et autres </w:t>
      </w:r>
      <w:r w:rsidR="00CF56CC">
        <w:t xml:space="preserve">sources de données </w:t>
      </w:r>
      <w:r>
        <w:t>et peut donc être utilisé pour mettre à jour le CN</w:t>
      </w:r>
      <w:r w:rsidR="00CF56CC">
        <w:t>A</w:t>
      </w:r>
      <w:r>
        <w:t xml:space="preserve">Q des Nations </w:t>
      </w:r>
      <w:r w:rsidR="00A94F9D">
        <w:t>U</w:t>
      </w:r>
      <w:r>
        <w:t xml:space="preserve">nies et les cadres nationaux respectifs. En outre, le tableau montre comment les dix exigences </w:t>
      </w:r>
      <w:r w:rsidR="00CF56CC">
        <w:t xml:space="preserve">essentielles </w:t>
      </w:r>
      <w:r>
        <w:t>se rapportent aux actions et aux considérations générales de l’approche conceptuelle.</w:t>
      </w:r>
    </w:p>
    <w:p w14:paraId="546CE78E" w14:textId="77777777" w:rsidR="00CE1364" w:rsidRDefault="00CE1364">
      <w:pPr>
        <w:keepNext/>
        <w:keepLines/>
        <w:spacing w:after="0"/>
        <w:outlineLvl w:val="1"/>
        <w:rPr>
          <w:rFonts w:asciiTheme="majorBidi" w:eastAsiaTheme="majorEastAsia" w:hAnsiTheme="majorBidi" w:cstheme="majorBidi"/>
          <w:color w:val="000000" w:themeColor="text1"/>
          <w:sz w:val="24"/>
        </w:rPr>
      </w:pPr>
    </w:p>
    <w:p w14:paraId="6E689228" w14:textId="22AD6A39" w:rsidR="00CE1364" w:rsidRDefault="005430FB">
      <w:pPr>
        <w:pStyle w:val="P68B1DB1-Normal31"/>
        <w:keepNext/>
        <w:keepLines/>
        <w:spacing w:after="0"/>
        <w:jc w:val="both"/>
        <w:outlineLvl w:val="1"/>
        <w:rPr>
          <w:b/>
        </w:rPr>
      </w:pPr>
      <w:r>
        <w:rPr>
          <w:b/>
        </w:rPr>
        <w:t xml:space="preserve">Tableau 3: </w:t>
      </w:r>
      <w:r>
        <w:t xml:space="preserve">Cartographie des dix exigences </w:t>
      </w:r>
      <w:r w:rsidR="00FE65F6">
        <w:t xml:space="preserve">essentielles </w:t>
      </w:r>
      <w:r>
        <w:t>pour l’assurance qualité lors de l’utilisation de</w:t>
      </w:r>
      <w:r w:rsidR="002F518D">
        <w:t>s</w:t>
      </w:r>
      <w:r>
        <w:t xml:space="preserve"> données administratives et autres </w:t>
      </w:r>
      <w:r w:rsidR="00FE65F6">
        <w:t xml:space="preserve">sources de données </w:t>
      </w:r>
      <w:r>
        <w:t>et des exigences pertinentes du CN</w:t>
      </w:r>
      <w:r w:rsidR="00FE65F6">
        <w:t>A</w:t>
      </w:r>
      <w:r>
        <w:t>Q de</w:t>
      </w:r>
      <w:r w:rsidR="00FE65F6">
        <w:t xml:space="preserve">s Nations </w:t>
      </w:r>
      <w:r w:rsidR="002F518D">
        <w:t>U</w:t>
      </w:r>
      <w:r w:rsidR="00FE65F6">
        <w:t xml:space="preserve">nies </w:t>
      </w:r>
      <w:r>
        <w:t>selon l’approche conceptuelle</w:t>
      </w:r>
    </w:p>
    <w:tbl>
      <w:tblPr>
        <w:tblStyle w:val="TableGrid1"/>
        <w:tblW w:w="9129" w:type="dxa"/>
        <w:tblLook w:val="04A0" w:firstRow="1" w:lastRow="0" w:firstColumn="1" w:lastColumn="0" w:noHBand="0" w:noVBand="1"/>
      </w:tblPr>
      <w:tblGrid>
        <w:gridCol w:w="4567"/>
        <w:gridCol w:w="4562"/>
      </w:tblGrid>
      <w:tr w:rsidR="00CE1364" w14:paraId="52F708B8" w14:textId="77777777">
        <w:trPr>
          <w:tblHeader/>
        </w:trPr>
        <w:tc>
          <w:tcPr>
            <w:tcW w:w="4567" w:type="dxa"/>
            <w:shd w:val="clear" w:color="auto" w:fill="92D050"/>
          </w:tcPr>
          <w:p w14:paraId="1F583F4D" w14:textId="4DE900C6" w:rsidR="00CE1364" w:rsidRDefault="005430FB" w:rsidP="009B0ABB">
            <w:pPr>
              <w:pStyle w:val="P68B1DB1-Normal1"/>
              <w:jc w:val="center"/>
            </w:pPr>
            <w:r>
              <w:t xml:space="preserve">Exigence </w:t>
            </w:r>
            <w:r w:rsidR="00FE65F6">
              <w:t xml:space="preserve">essentielles </w:t>
            </w:r>
            <w:r>
              <w:t xml:space="preserve">pour </w:t>
            </w:r>
            <w:r w:rsidR="00FE65F6">
              <w:t xml:space="preserve">l’assurance qualité </w:t>
            </w:r>
            <w:r>
              <w:t>de</w:t>
            </w:r>
            <w:r w:rsidR="00FE65F6">
              <w:t>s</w:t>
            </w:r>
            <w:r>
              <w:t xml:space="preserve"> </w:t>
            </w:r>
            <w:r w:rsidR="00FE65F6">
              <w:t>AOS</w:t>
            </w:r>
          </w:p>
        </w:tc>
        <w:tc>
          <w:tcPr>
            <w:tcW w:w="4562" w:type="dxa"/>
            <w:shd w:val="clear" w:color="auto" w:fill="92D050"/>
          </w:tcPr>
          <w:p w14:paraId="178135BB" w14:textId="68DC15D4" w:rsidR="00CE1364" w:rsidRDefault="005430FB">
            <w:pPr>
              <w:pStyle w:val="P68B1DB1-Normal1"/>
              <w:jc w:val="center"/>
            </w:pPr>
            <w:r>
              <w:t>Exigence pertinente du CN</w:t>
            </w:r>
            <w:r w:rsidR="00FE65F6">
              <w:t>A</w:t>
            </w:r>
            <w:r>
              <w:t>Q de</w:t>
            </w:r>
            <w:r w:rsidR="00FE65F6">
              <w:t xml:space="preserve">s Nations </w:t>
            </w:r>
            <w:r w:rsidR="002F518D">
              <w:t>U</w:t>
            </w:r>
            <w:r w:rsidR="00FE65F6">
              <w:t>nies</w:t>
            </w:r>
          </w:p>
        </w:tc>
      </w:tr>
      <w:tr w:rsidR="00CE1364" w14:paraId="787EAF6E" w14:textId="77777777">
        <w:tc>
          <w:tcPr>
            <w:tcW w:w="9129" w:type="dxa"/>
            <w:gridSpan w:val="2"/>
            <w:shd w:val="clear" w:color="auto" w:fill="D9D9D9" w:themeFill="background1" w:themeFillShade="D9"/>
          </w:tcPr>
          <w:p w14:paraId="6A16671D" w14:textId="16B32D11" w:rsidR="00CE1364" w:rsidRDefault="005430FB">
            <w:pPr>
              <w:pStyle w:val="P68B1DB1-Normal1"/>
            </w:pPr>
            <w:r>
              <w:t>Conditions préalables importantes: Accès aux données et confidentialité</w:t>
            </w:r>
          </w:p>
        </w:tc>
      </w:tr>
      <w:tr w:rsidR="00CE1364" w14:paraId="68F7739B" w14:textId="77777777">
        <w:tc>
          <w:tcPr>
            <w:tcW w:w="4567" w:type="dxa"/>
          </w:tcPr>
          <w:p w14:paraId="2F1CFE61" w14:textId="5E3E676A" w:rsidR="00CE1364" w:rsidRDefault="005430FB">
            <w:pPr>
              <w:pStyle w:val="P68B1DB1-Normal17"/>
            </w:pPr>
            <w:r>
              <w:t>CR 1: L’utilisation de</w:t>
            </w:r>
            <w:r w:rsidR="002F518D">
              <w:t>s</w:t>
            </w:r>
            <w:r>
              <w:t xml:space="preserve"> données administratives et autres</w:t>
            </w:r>
            <w:r w:rsidR="00FE65F6">
              <w:t xml:space="preserve"> sources de données</w:t>
            </w:r>
            <w:r>
              <w:t xml:space="preserve"> doit répondre à un ensemble de conditions préalables et tenir compte des besoins des utilisateurs.</w:t>
            </w:r>
          </w:p>
        </w:tc>
        <w:tc>
          <w:tcPr>
            <w:tcW w:w="4562" w:type="dxa"/>
          </w:tcPr>
          <w:p w14:paraId="0657ACFA" w14:textId="77777777" w:rsidR="00CE1364" w:rsidRDefault="005430FB">
            <w:pPr>
              <w:pStyle w:val="P68B1DB1-Normal17"/>
            </w:pPr>
            <w:r>
              <w:t>Exigences 2.5, 2.6</w:t>
            </w:r>
          </w:p>
          <w:p w14:paraId="6C93AF36" w14:textId="77777777" w:rsidR="00CE1364" w:rsidRDefault="005430FB">
            <w:pPr>
              <w:pStyle w:val="P68B1DB1-Normal17"/>
            </w:pPr>
            <w:r>
              <w:t>Exigences 7.1-7.6</w:t>
            </w:r>
          </w:p>
          <w:p w14:paraId="78B593E3" w14:textId="1B1241F3" w:rsidR="00CE1364" w:rsidRDefault="009B0ABB">
            <w:pPr>
              <w:pStyle w:val="P68B1DB1-Normal17"/>
            </w:pPr>
            <w:r>
              <w:t xml:space="preserve">Exigence </w:t>
            </w:r>
            <w:r w:rsidR="005430FB">
              <w:t>14.1, 14.3</w:t>
            </w:r>
          </w:p>
        </w:tc>
      </w:tr>
      <w:tr w:rsidR="00CE1364" w14:paraId="3F550D6B" w14:textId="77777777">
        <w:tc>
          <w:tcPr>
            <w:tcW w:w="9129" w:type="dxa"/>
            <w:gridSpan w:val="2"/>
            <w:shd w:val="clear" w:color="auto" w:fill="D9D9D9" w:themeFill="background1" w:themeFillShade="D9"/>
          </w:tcPr>
          <w:p w14:paraId="781B0328" w14:textId="3DD22148" w:rsidR="00CE1364" w:rsidRDefault="005430FB">
            <w:pPr>
              <w:pStyle w:val="P68B1DB1-Normal1"/>
            </w:pPr>
            <w:r>
              <w:t xml:space="preserve">Action 1: Identification des besoins </w:t>
            </w:r>
            <w:r w:rsidR="00FE65F6">
              <w:t xml:space="preserve">en </w:t>
            </w:r>
            <w:r>
              <w:t>statistiques et sélection de la source de données</w:t>
            </w:r>
          </w:p>
        </w:tc>
      </w:tr>
      <w:tr w:rsidR="00CE1364" w14:paraId="188B014F" w14:textId="77777777">
        <w:tc>
          <w:tcPr>
            <w:tcW w:w="4567" w:type="dxa"/>
          </w:tcPr>
          <w:p w14:paraId="3CF08D53" w14:textId="0A3A1E4A" w:rsidR="00CE1364" w:rsidRDefault="005430FB">
            <w:pPr>
              <w:pStyle w:val="P68B1DB1-Normal17"/>
            </w:pPr>
            <w:r>
              <w:t xml:space="preserve">CR 2: </w:t>
            </w:r>
            <w:r>
              <w:rPr>
                <w:kern w:val="24"/>
              </w:rPr>
              <w:t>De nouvelles sources de données, des fournisseurs de données ainsi que l’utilisation de sources de données multiples sont explorés de manière proactive</w:t>
            </w:r>
          </w:p>
        </w:tc>
        <w:tc>
          <w:tcPr>
            <w:tcW w:w="4562" w:type="dxa"/>
          </w:tcPr>
          <w:p w14:paraId="736A7F9E" w14:textId="2678C518" w:rsidR="00CE1364" w:rsidRDefault="009B0ABB">
            <w:pPr>
              <w:pStyle w:val="P68B1DB1-Normal17"/>
            </w:pPr>
            <w:r>
              <w:t xml:space="preserve">Exigence </w:t>
            </w:r>
            <w:r w:rsidR="005430FB">
              <w:t>10.3 et 10.5</w:t>
            </w:r>
          </w:p>
          <w:p w14:paraId="57AEC1C4" w14:textId="77777777" w:rsidR="00CE1364" w:rsidRDefault="005430FB">
            <w:pPr>
              <w:pStyle w:val="P68B1DB1-Normal17"/>
            </w:pPr>
            <w:r>
              <w:t>Exigences 11.1, 11.2, 11.5</w:t>
            </w:r>
          </w:p>
          <w:p w14:paraId="089C4931" w14:textId="022DFDF1" w:rsidR="00CE1364" w:rsidRDefault="009B0ABB">
            <w:pPr>
              <w:pStyle w:val="P68B1DB1-Normal17"/>
            </w:pPr>
            <w:r>
              <w:t xml:space="preserve">Exigence </w:t>
            </w:r>
            <w:r w:rsidR="005430FB">
              <w:t>14.1, 14.3</w:t>
            </w:r>
          </w:p>
          <w:p w14:paraId="664C4F4C" w14:textId="4BEB7805" w:rsidR="00CE1364" w:rsidRDefault="005430FB">
            <w:pPr>
              <w:pStyle w:val="P68B1DB1-Normal17"/>
            </w:pPr>
            <w:r>
              <w:t>Exigence 5.3</w:t>
            </w:r>
          </w:p>
        </w:tc>
      </w:tr>
      <w:tr w:rsidR="00CE1364" w14:paraId="55994378" w14:textId="77777777">
        <w:tc>
          <w:tcPr>
            <w:tcW w:w="4567" w:type="dxa"/>
          </w:tcPr>
          <w:p w14:paraId="27BE005A" w14:textId="258F64C1" w:rsidR="00CE1364" w:rsidRDefault="005430FB">
            <w:pPr>
              <w:pStyle w:val="P68B1DB1-Normal17"/>
            </w:pPr>
            <w:r>
              <w:t xml:space="preserve">CR 3: </w:t>
            </w:r>
            <w:r>
              <w:rPr>
                <w:color w:val="000000" w:themeColor="text1"/>
                <w:kern w:val="24"/>
              </w:rPr>
              <w:t>Il y a des informations de base sur le fournisseur de données et des informations générales sur la source de données.</w:t>
            </w:r>
          </w:p>
        </w:tc>
        <w:tc>
          <w:tcPr>
            <w:tcW w:w="4562" w:type="dxa"/>
          </w:tcPr>
          <w:p w14:paraId="3F204F91" w14:textId="77777777" w:rsidR="00CE1364" w:rsidRDefault="005430FB">
            <w:pPr>
              <w:pStyle w:val="P68B1DB1-Normal17"/>
            </w:pPr>
            <w:r>
              <w:t>Exigence 10.3</w:t>
            </w:r>
          </w:p>
        </w:tc>
      </w:tr>
      <w:tr w:rsidR="00CE1364" w14:paraId="75346726" w14:textId="77777777">
        <w:tc>
          <w:tcPr>
            <w:tcW w:w="4567" w:type="dxa"/>
          </w:tcPr>
          <w:p w14:paraId="73BE2B9B" w14:textId="28A5E55B" w:rsidR="00CE1364" w:rsidRDefault="005430FB" w:rsidP="009B0ABB">
            <w:pPr>
              <w:pStyle w:val="P68B1DB1-Normal17"/>
            </w:pPr>
            <w:r>
              <w:t xml:space="preserve">CR 4: </w:t>
            </w:r>
            <w:r>
              <w:rPr>
                <w:kern w:val="24"/>
              </w:rPr>
              <w:t xml:space="preserve">Le fournisseur de données et la source de données sont évalués </w:t>
            </w:r>
            <w:r w:rsidR="00FE65F6">
              <w:rPr>
                <w:kern w:val="24"/>
              </w:rPr>
              <w:t>en fonction des</w:t>
            </w:r>
            <w:r>
              <w:rPr>
                <w:kern w:val="24"/>
              </w:rPr>
              <w:t xml:space="preserve"> risques</w:t>
            </w:r>
            <w:r w:rsidR="00FE65F6">
              <w:rPr>
                <w:kern w:val="24"/>
              </w:rPr>
              <w:t xml:space="preserve"> qu’ils présentent</w:t>
            </w:r>
          </w:p>
        </w:tc>
        <w:tc>
          <w:tcPr>
            <w:tcW w:w="4562" w:type="dxa"/>
          </w:tcPr>
          <w:p w14:paraId="619BD16B" w14:textId="77777777" w:rsidR="00CE1364" w:rsidRDefault="005430FB">
            <w:pPr>
              <w:pStyle w:val="P68B1DB1-Normal17"/>
            </w:pPr>
            <w:r>
              <w:t>Exigence 10.3</w:t>
            </w:r>
          </w:p>
          <w:p w14:paraId="2AF4CD3D" w14:textId="77777777" w:rsidR="00CE1364" w:rsidRDefault="005430FB">
            <w:pPr>
              <w:pStyle w:val="P68B1DB1-Normal17"/>
            </w:pPr>
            <w:r>
              <w:t>Exigences 5.2, 5.3</w:t>
            </w:r>
          </w:p>
          <w:p w14:paraId="5AD33F68" w14:textId="0C72664B" w:rsidR="00CE1364" w:rsidRDefault="005430FB">
            <w:pPr>
              <w:pStyle w:val="P68B1DB1-Normal17"/>
            </w:pPr>
            <w:r>
              <w:t>Exigence 7.5</w:t>
            </w:r>
          </w:p>
        </w:tc>
      </w:tr>
      <w:tr w:rsidR="00CE1364" w14:paraId="00D31E7C" w14:textId="77777777">
        <w:tc>
          <w:tcPr>
            <w:tcW w:w="4567" w:type="dxa"/>
          </w:tcPr>
          <w:p w14:paraId="76660BFF" w14:textId="1F071F12" w:rsidR="00CE1364" w:rsidRDefault="005430FB" w:rsidP="009B0ABB">
            <w:pPr>
              <w:pStyle w:val="P68B1DB1-Normal17"/>
            </w:pPr>
            <w:r>
              <w:t xml:space="preserve">CR 7: </w:t>
            </w:r>
            <w:r>
              <w:rPr>
                <w:kern w:val="24"/>
              </w:rPr>
              <w:t xml:space="preserve">La qualité des données </w:t>
            </w:r>
            <w:r w:rsidR="002F518D">
              <w:rPr>
                <w:kern w:val="24"/>
              </w:rPr>
              <w:t>de base</w:t>
            </w:r>
            <w:r>
              <w:rPr>
                <w:kern w:val="24"/>
              </w:rPr>
              <w:t xml:space="preserve"> est systématiquement évaluée par l’organisme statistique.</w:t>
            </w:r>
          </w:p>
        </w:tc>
        <w:tc>
          <w:tcPr>
            <w:tcW w:w="4562" w:type="dxa"/>
          </w:tcPr>
          <w:p w14:paraId="43E724C1" w14:textId="77777777" w:rsidR="00CE1364" w:rsidRDefault="005430FB">
            <w:pPr>
              <w:pStyle w:val="P68B1DB1-Normal17"/>
            </w:pPr>
            <w:r>
              <w:t>Exigence 10.3</w:t>
            </w:r>
          </w:p>
          <w:p w14:paraId="362BACC8" w14:textId="77777777" w:rsidR="00CE1364" w:rsidRDefault="005430FB">
            <w:pPr>
              <w:pStyle w:val="P68B1DB1-Normal17"/>
            </w:pPr>
            <w:r>
              <w:t>Exigence 12.3</w:t>
            </w:r>
          </w:p>
          <w:p w14:paraId="1579E857" w14:textId="4CC3FD19" w:rsidR="00CE1364" w:rsidRDefault="005430FB">
            <w:pPr>
              <w:pStyle w:val="P68B1DB1-Normal17"/>
            </w:pPr>
            <w:r>
              <w:t>Exigence 15.1</w:t>
            </w:r>
          </w:p>
        </w:tc>
      </w:tr>
      <w:tr w:rsidR="00CE1364" w14:paraId="217BE626" w14:textId="77777777">
        <w:tc>
          <w:tcPr>
            <w:tcW w:w="4567" w:type="dxa"/>
          </w:tcPr>
          <w:p w14:paraId="3E453C76" w14:textId="6F3FA6EA" w:rsidR="00CE1364" w:rsidRDefault="005430FB">
            <w:pPr>
              <w:pStyle w:val="P68B1DB1-Normal17"/>
            </w:pPr>
            <w:r>
              <w:t xml:space="preserve">CR 8: </w:t>
            </w:r>
            <w:r>
              <w:rPr>
                <w:kern w:val="24"/>
              </w:rPr>
              <w:t xml:space="preserve">Il existe des métadonnées complètes sur les données </w:t>
            </w:r>
            <w:r w:rsidR="002F518D">
              <w:rPr>
                <w:kern w:val="24"/>
              </w:rPr>
              <w:t>de base</w:t>
            </w:r>
          </w:p>
        </w:tc>
        <w:tc>
          <w:tcPr>
            <w:tcW w:w="4562" w:type="dxa"/>
          </w:tcPr>
          <w:p w14:paraId="012D444D" w14:textId="77777777" w:rsidR="00CE1364" w:rsidRDefault="005430FB">
            <w:pPr>
              <w:pStyle w:val="P68B1DB1-Normal17"/>
            </w:pPr>
            <w:r>
              <w:t>Exigence 10.3</w:t>
            </w:r>
          </w:p>
          <w:p w14:paraId="40A1FD36" w14:textId="34A20408" w:rsidR="00CE1364" w:rsidRDefault="005430FB">
            <w:pPr>
              <w:pStyle w:val="P68B1DB1-Normal17"/>
            </w:pPr>
            <w:r>
              <w:t xml:space="preserve">Exigence 12.3, 12,5 </w:t>
            </w:r>
          </w:p>
        </w:tc>
      </w:tr>
      <w:tr w:rsidR="00CE1364" w14:paraId="0B46C6E6" w14:textId="77777777">
        <w:tc>
          <w:tcPr>
            <w:tcW w:w="9129" w:type="dxa"/>
            <w:gridSpan w:val="2"/>
            <w:shd w:val="clear" w:color="auto" w:fill="D9D9D9" w:themeFill="background1" w:themeFillShade="D9"/>
          </w:tcPr>
          <w:p w14:paraId="29390377" w14:textId="77777777" w:rsidR="00CE1364" w:rsidRDefault="005430FB">
            <w:pPr>
              <w:pStyle w:val="P68B1DB1-Normal1"/>
            </w:pPr>
            <w:r>
              <w:t>Action 2: Coopération avec le fournisseur de données</w:t>
            </w:r>
          </w:p>
        </w:tc>
      </w:tr>
      <w:tr w:rsidR="00CE1364" w14:paraId="12F68275" w14:textId="77777777">
        <w:tc>
          <w:tcPr>
            <w:tcW w:w="4567" w:type="dxa"/>
          </w:tcPr>
          <w:p w14:paraId="354910CA" w14:textId="77F353BE" w:rsidR="00CE1364" w:rsidRDefault="005430FB" w:rsidP="009B0ABB">
            <w:pPr>
              <w:pStyle w:val="P68B1DB1-Normal17"/>
            </w:pPr>
            <w:r>
              <w:t xml:space="preserve">CR 4: </w:t>
            </w:r>
            <w:r>
              <w:rPr>
                <w:kern w:val="24"/>
              </w:rPr>
              <w:t>Le fournisseur de</w:t>
            </w:r>
            <w:r w:rsidR="002F518D">
              <w:rPr>
                <w:kern w:val="24"/>
              </w:rPr>
              <w:t>s</w:t>
            </w:r>
            <w:r>
              <w:rPr>
                <w:kern w:val="24"/>
              </w:rPr>
              <w:t xml:space="preserve"> données et la source de données sont évalués </w:t>
            </w:r>
            <w:r w:rsidR="00FE65F6">
              <w:rPr>
                <w:kern w:val="24"/>
              </w:rPr>
              <w:t>en fonction des</w:t>
            </w:r>
            <w:r>
              <w:rPr>
                <w:kern w:val="24"/>
              </w:rPr>
              <w:t xml:space="preserve"> risques</w:t>
            </w:r>
            <w:r w:rsidR="00FE65F6">
              <w:rPr>
                <w:kern w:val="24"/>
              </w:rPr>
              <w:t xml:space="preserve"> qu’ils présentent</w:t>
            </w:r>
          </w:p>
        </w:tc>
        <w:tc>
          <w:tcPr>
            <w:tcW w:w="4562" w:type="dxa"/>
          </w:tcPr>
          <w:p w14:paraId="4F15E7CE" w14:textId="77777777" w:rsidR="00CE1364" w:rsidRDefault="005430FB">
            <w:pPr>
              <w:pStyle w:val="P68B1DB1-Normal17"/>
            </w:pPr>
            <w:r>
              <w:t>Exigence 10.3</w:t>
            </w:r>
          </w:p>
          <w:p w14:paraId="166A9C2F" w14:textId="0624EC94" w:rsidR="00CE1364" w:rsidRDefault="005430FB">
            <w:pPr>
              <w:pStyle w:val="P68B1DB1-Normal17"/>
            </w:pPr>
            <w:r>
              <w:t>Exigence 7.5</w:t>
            </w:r>
          </w:p>
        </w:tc>
      </w:tr>
      <w:tr w:rsidR="00CE1364" w14:paraId="52EC6585" w14:textId="77777777">
        <w:tc>
          <w:tcPr>
            <w:tcW w:w="4567" w:type="dxa"/>
          </w:tcPr>
          <w:p w14:paraId="15F76BA4" w14:textId="4CE0A03A" w:rsidR="00CE1364" w:rsidRDefault="005430FB" w:rsidP="009B0ABB">
            <w:pPr>
              <w:pStyle w:val="P68B1DB1-Normal17"/>
            </w:pPr>
            <w:r>
              <w:t xml:space="preserve">CR 5: </w:t>
            </w:r>
            <w:r>
              <w:rPr>
                <w:kern w:val="24"/>
              </w:rPr>
              <w:t xml:space="preserve">Il existe des accords de coopération avec les fournisseurs de données et une coopération </w:t>
            </w:r>
            <w:r w:rsidR="00FE65F6">
              <w:rPr>
                <w:kern w:val="24"/>
              </w:rPr>
              <w:t>permanente</w:t>
            </w:r>
            <w:r>
              <w:rPr>
                <w:kern w:val="24"/>
              </w:rPr>
              <w:t>, le cas échéant.</w:t>
            </w:r>
          </w:p>
        </w:tc>
        <w:tc>
          <w:tcPr>
            <w:tcW w:w="4562" w:type="dxa"/>
          </w:tcPr>
          <w:p w14:paraId="4FE941B4" w14:textId="77777777" w:rsidR="00CE1364" w:rsidRDefault="005430FB">
            <w:pPr>
              <w:pStyle w:val="P68B1DB1-Normal17"/>
            </w:pPr>
            <w:r>
              <w:t>Exigences 2.5, 2.6, 2.7</w:t>
            </w:r>
          </w:p>
          <w:p w14:paraId="5DFF82C9" w14:textId="77777777" w:rsidR="00CE1364" w:rsidRDefault="005430FB">
            <w:pPr>
              <w:pStyle w:val="P68B1DB1-Normal17"/>
            </w:pPr>
            <w:r>
              <w:t>Exigence 3.2</w:t>
            </w:r>
          </w:p>
          <w:p w14:paraId="428A6909" w14:textId="2E493B7A" w:rsidR="00CE1364" w:rsidRDefault="005430FB">
            <w:pPr>
              <w:pStyle w:val="P68B1DB1-Normal17"/>
            </w:pPr>
            <w:r>
              <w:t>Exigence 16.2</w:t>
            </w:r>
          </w:p>
        </w:tc>
      </w:tr>
      <w:tr w:rsidR="00CE1364" w14:paraId="3EB2189C" w14:textId="77777777">
        <w:tc>
          <w:tcPr>
            <w:tcW w:w="4567" w:type="dxa"/>
          </w:tcPr>
          <w:p w14:paraId="51FF84B2" w14:textId="35C60C49" w:rsidR="00CE1364" w:rsidRDefault="005430FB" w:rsidP="009B0ABB">
            <w:pPr>
              <w:pStyle w:val="P68B1DB1-Normal17"/>
            </w:pPr>
            <w:r>
              <w:lastRenderedPageBreak/>
              <w:t xml:space="preserve">CR 6: </w:t>
            </w:r>
            <w:r>
              <w:rPr>
                <w:kern w:val="24"/>
              </w:rPr>
              <w:t>Le fournisseur de données assure la qualité de</w:t>
            </w:r>
            <w:r w:rsidR="002F518D">
              <w:rPr>
                <w:kern w:val="24"/>
              </w:rPr>
              <w:t>s</w:t>
            </w:r>
            <w:r>
              <w:rPr>
                <w:kern w:val="24"/>
              </w:rPr>
              <w:t xml:space="preserve"> données et produit un rapport de qualité (ou une déclaration de qualité) en coopération avec </w:t>
            </w:r>
            <w:r w:rsidR="00FE65F6">
              <w:rPr>
                <w:kern w:val="24"/>
              </w:rPr>
              <w:t xml:space="preserve">l’organisme </w:t>
            </w:r>
            <w:r>
              <w:rPr>
                <w:kern w:val="24"/>
              </w:rPr>
              <w:t>statistique, le cas échéant.</w:t>
            </w:r>
          </w:p>
        </w:tc>
        <w:tc>
          <w:tcPr>
            <w:tcW w:w="4562" w:type="dxa"/>
          </w:tcPr>
          <w:p w14:paraId="52927149" w14:textId="77777777" w:rsidR="00CE1364" w:rsidRDefault="005430FB">
            <w:pPr>
              <w:pStyle w:val="P68B1DB1-Normal17"/>
            </w:pPr>
            <w:r>
              <w:t>Exigence 2.7</w:t>
            </w:r>
          </w:p>
          <w:p w14:paraId="48451052" w14:textId="77777777" w:rsidR="00CE1364" w:rsidRDefault="005430FB">
            <w:pPr>
              <w:pStyle w:val="P68B1DB1-Normal17"/>
            </w:pPr>
            <w:r>
              <w:t>Exigence 10.3</w:t>
            </w:r>
          </w:p>
          <w:p w14:paraId="5710E871" w14:textId="69F5E3B6" w:rsidR="00CE1364" w:rsidRDefault="005430FB">
            <w:pPr>
              <w:pStyle w:val="P68B1DB1-Normal17"/>
            </w:pPr>
            <w:r>
              <w:t>Exigence 11.5</w:t>
            </w:r>
          </w:p>
        </w:tc>
      </w:tr>
      <w:tr w:rsidR="00CE1364" w14:paraId="728CBEA0" w14:textId="77777777">
        <w:tc>
          <w:tcPr>
            <w:tcW w:w="9129" w:type="dxa"/>
            <w:gridSpan w:val="2"/>
            <w:shd w:val="clear" w:color="auto" w:fill="D9D9D9" w:themeFill="background1" w:themeFillShade="D9"/>
          </w:tcPr>
          <w:p w14:paraId="5166DF2E" w14:textId="77777777" w:rsidR="00CE1364" w:rsidRDefault="005430FB">
            <w:pPr>
              <w:pStyle w:val="P68B1DB1-Normal1"/>
            </w:pPr>
            <w:r>
              <w:t>Action 3: Acquisition et traitement des données</w:t>
            </w:r>
          </w:p>
        </w:tc>
      </w:tr>
      <w:tr w:rsidR="00CE1364" w14:paraId="1E5CCF65" w14:textId="77777777">
        <w:tc>
          <w:tcPr>
            <w:tcW w:w="4567" w:type="dxa"/>
          </w:tcPr>
          <w:p w14:paraId="1C79F4F1" w14:textId="5BBAC440" w:rsidR="00CE1364" w:rsidRDefault="005430FB" w:rsidP="009B0ABB">
            <w:pPr>
              <w:pStyle w:val="P68B1DB1-Normal17"/>
            </w:pPr>
            <w:r>
              <w:t xml:space="preserve">CR 7: </w:t>
            </w:r>
            <w:r>
              <w:rPr>
                <w:kern w:val="24"/>
              </w:rPr>
              <w:t xml:space="preserve">La qualité des données </w:t>
            </w:r>
            <w:r w:rsidR="002F518D">
              <w:rPr>
                <w:kern w:val="24"/>
              </w:rPr>
              <w:t>de base</w:t>
            </w:r>
            <w:r>
              <w:rPr>
                <w:kern w:val="24"/>
              </w:rPr>
              <w:t xml:space="preserve"> est systématiquement évaluée par l’organisme statistique.</w:t>
            </w:r>
          </w:p>
        </w:tc>
        <w:tc>
          <w:tcPr>
            <w:tcW w:w="4562" w:type="dxa"/>
          </w:tcPr>
          <w:p w14:paraId="0DB67BEC" w14:textId="77777777" w:rsidR="00CE1364" w:rsidRDefault="005430FB">
            <w:pPr>
              <w:pStyle w:val="P68B1DB1-Normal17"/>
            </w:pPr>
            <w:r>
              <w:t>Exigence 10.3</w:t>
            </w:r>
          </w:p>
          <w:p w14:paraId="2CBCD351" w14:textId="77777777" w:rsidR="00CE1364" w:rsidRDefault="005430FB">
            <w:pPr>
              <w:pStyle w:val="P68B1DB1-Normal17"/>
            </w:pPr>
            <w:r>
              <w:t>Exigence 12.3</w:t>
            </w:r>
          </w:p>
          <w:p w14:paraId="6303A84F" w14:textId="7E455922" w:rsidR="00CE1364" w:rsidRDefault="005430FB">
            <w:pPr>
              <w:pStyle w:val="P68B1DB1-Normal17"/>
            </w:pPr>
            <w:r>
              <w:t>Exigence 15.1</w:t>
            </w:r>
          </w:p>
        </w:tc>
      </w:tr>
      <w:tr w:rsidR="00CE1364" w14:paraId="642714E7" w14:textId="77777777">
        <w:tc>
          <w:tcPr>
            <w:tcW w:w="4567" w:type="dxa"/>
          </w:tcPr>
          <w:p w14:paraId="698D105C" w14:textId="2707BA12" w:rsidR="00CE1364" w:rsidRDefault="005430FB">
            <w:pPr>
              <w:pStyle w:val="P68B1DB1-Normal17"/>
            </w:pPr>
            <w:r>
              <w:t xml:space="preserve">CR 8: </w:t>
            </w:r>
            <w:r>
              <w:rPr>
                <w:kern w:val="24"/>
              </w:rPr>
              <w:t xml:space="preserve">Il existe des métadonnées complètes sur les données </w:t>
            </w:r>
            <w:r w:rsidR="002F518D">
              <w:rPr>
                <w:kern w:val="24"/>
              </w:rPr>
              <w:t>de base</w:t>
            </w:r>
          </w:p>
        </w:tc>
        <w:tc>
          <w:tcPr>
            <w:tcW w:w="4562" w:type="dxa"/>
          </w:tcPr>
          <w:p w14:paraId="63B97BE0" w14:textId="77777777" w:rsidR="00CE1364" w:rsidRDefault="005430FB">
            <w:pPr>
              <w:pStyle w:val="P68B1DB1-Normal17"/>
            </w:pPr>
            <w:r>
              <w:t>Exigence 10.3</w:t>
            </w:r>
          </w:p>
          <w:p w14:paraId="5DD23423" w14:textId="77777777" w:rsidR="00CE1364" w:rsidRDefault="005430FB">
            <w:pPr>
              <w:pStyle w:val="P68B1DB1-Normal17"/>
            </w:pPr>
            <w:r>
              <w:t xml:space="preserve">Exigence 12.3, 12,5 </w:t>
            </w:r>
          </w:p>
        </w:tc>
      </w:tr>
      <w:tr w:rsidR="00CE1364" w14:paraId="4395FD64" w14:textId="77777777">
        <w:tc>
          <w:tcPr>
            <w:tcW w:w="4567" w:type="dxa"/>
          </w:tcPr>
          <w:p w14:paraId="4A59DB3A" w14:textId="53BA25E6" w:rsidR="00CE1364" w:rsidRDefault="005430FB" w:rsidP="009B0ABB">
            <w:pPr>
              <w:pStyle w:val="P68B1DB1-Normal17"/>
            </w:pPr>
            <w:r>
              <w:t xml:space="preserve">CR 9: Le traitement des données </w:t>
            </w:r>
            <w:r w:rsidR="002F518D">
              <w:t>de base</w:t>
            </w:r>
            <w:r>
              <w:t xml:space="preserve"> par l’organisme statistique respecte les normes, les </w:t>
            </w:r>
            <w:r w:rsidR="00FE65F6">
              <w:t xml:space="preserve">lignes </w:t>
            </w:r>
            <w:r>
              <w:t>direct</w:t>
            </w:r>
            <w:r w:rsidR="00FE65F6">
              <w:t>r</w:t>
            </w:r>
            <w:r>
              <w:t>i</w:t>
            </w:r>
            <w:r w:rsidR="00FE65F6">
              <w:t>c</w:t>
            </w:r>
            <w:r>
              <w:t>es et les meilleures pratiques</w:t>
            </w:r>
          </w:p>
        </w:tc>
        <w:tc>
          <w:tcPr>
            <w:tcW w:w="4562" w:type="dxa"/>
          </w:tcPr>
          <w:p w14:paraId="743C1CD4" w14:textId="77777777" w:rsidR="00CE1364" w:rsidRDefault="005430FB">
            <w:pPr>
              <w:pStyle w:val="P68B1DB1-Normal17"/>
            </w:pPr>
            <w:r>
              <w:t>Exigences 12.1, 12.2, 12.3</w:t>
            </w:r>
          </w:p>
          <w:p w14:paraId="412AEC46" w14:textId="77777777" w:rsidR="00CE1364" w:rsidRDefault="005430FB">
            <w:pPr>
              <w:pStyle w:val="P68B1DB1-Normal17"/>
            </w:pPr>
            <w:r>
              <w:t>Exigence 8.5</w:t>
            </w:r>
          </w:p>
          <w:p w14:paraId="26B70BA1" w14:textId="77777777" w:rsidR="00CE1364" w:rsidRDefault="005430FB">
            <w:pPr>
              <w:pStyle w:val="P68B1DB1-Normal17"/>
            </w:pPr>
            <w:r>
              <w:t>Exigences 10.1, 10.5</w:t>
            </w:r>
          </w:p>
          <w:p w14:paraId="5745DCEE" w14:textId="77777777" w:rsidR="00CE1364" w:rsidRDefault="005430FB">
            <w:pPr>
              <w:pStyle w:val="P68B1DB1-Normal17"/>
            </w:pPr>
            <w:r>
              <w:t>Exigence 11.5</w:t>
            </w:r>
          </w:p>
          <w:p w14:paraId="2E396E34" w14:textId="77777777" w:rsidR="00CE1364" w:rsidRDefault="005430FB">
            <w:pPr>
              <w:pStyle w:val="P68B1DB1-Normal17"/>
            </w:pPr>
            <w:r>
              <w:t>Exigence 13.4</w:t>
            </w:r>
          </w:p>
          <w:p w14:paraId="3CF97D36" w14:textId="19E34559" w:rsidR="00CE1364" w:rsidRDefault="005430FB">
            <w:pPr>
              <w:pStyle w:val="P68B1DB1-Normal17"/>
            </w:pPr>
            <w:r>
              <w:t>Exigence 15.3</w:t>
            </w:r>
          </w:p>
          <w:p w14:paraId="6C458F43" w14:textId="780096F1" w:rsidR="00CE1364" w:rsidRDefault="005430FB">
            <w:pPr>
              <w:pStyle w:val="P68B1DB1-Normal17"/>
            </w:pPr>
            <w:r>
              <w:t>Exigence 18.2</w:t>
            </w:r>
          </w:p>
        </w:tc>
      </w:tr>
      <w:tr w:rsidR="00CE1364" w14:paraId="27F34A1A" w14:textId="77777777">
        <w:tc>
          <w:tcPr>
            <w:tcW w:w="9129" w:type="dxa"/>
            <w:gridSpan w:val="2"/>
            <w:shd w:val="clear" w:color="auto" w:fill="D9D9D9" w:themeFill="background1" w:themeFillShade="D9"/>
          </w:tcPr>
          <w:p w14:paraId="6C26CF80" w14:textId="77777777" w:rsidR="00CE1364" w:rsidRDefault="005430FB">
            <w:pPr>
              <w:pStyle w:val="P68B1DB1-Normal1"/>
              <w:keepNext/>
              <w:keepLines/>
            </w:pPr>
            <w:r>
              <w:t>Action 4: Diffusion</w:t>
            </w:r>
          </w:p>
        </w:tc>
      </w:tr>
      <w:tr w:rsidR="00CE1364" w14:paraId="4EF139DB" w14:textId="77777777">
        <w:tc>
          <w:tcPr>
            <w:tcW w:w="4567" w:type="dxa"/>
          </w:tcPr>
          <w:p w14:paraId="0F114B52" w14:textId="274CC6AB" w:rsidR="00CE1364" w:rsidRDefault="005430FB">
            <w:pPr>
              <w:pStyle w:val="P68B1DB1-Normal17"/>
            </w:pPr>
            <w:r>
              <w:t xml:space="preserve">CR 8: </w:t>
            </w:r>
            <w:r>
              <w:rPr>
                <w:kern w:val="24"/>
              </w:rPr>
              <w:t xml:space="preserve">Il existe des métadonnées complètes sur les données </w:t>
            </w:r>
            <w:r w:rsidR="002F518D">
              <w:rPr>
                <w:kern w:val="24"/>
              </w:rPr>
              <w:t>de base</w:t>
            </w:r>
          </w:p>
        </w:tc>
        <w:tc>
          <w:tcPr>
            <w:tcW w:w="4562" w:type="dxa"/>
          </w:tcPr>
          <w:p w14:paraId="357B1C16" w14:textId="77777777" w:rsidR="00CE1364" w:rsidRDefault="005430FB">
            <w:pPr>
              <w:pStyle w:val="P68B1DB1-Normal17"/>
            </w:pPr>
            <w:r>
              <w:t xml:space="preserve">Exigence 12.3, 12,5 </w:t>
            </w:r>
          </w:p>
        </w:tc>
      </w:tr>
      <w:tr w:rsidR="00CE1364" w14:paraId="2AB8143F" w14:textId="77777777">
        <w:tc>
          <w:tcPr>
            <w:tcW w:w="4567" w:type="dxa"/>
          </w:tcPr>
          <w:p w14:paraId="3B6E90CD" w14:textId="614D5636" w:rsidR="00CE1364" w:rsidRDefault="005430FB">
            <w:pPr>
              <w:pStyle w:val="P68B1DB1-Normal17"/>
              <w:keepNext/>
              <w:keepLines/>
            </w:pPr>
            <w:r>
              <w:t>CR10: La diffusion des résultats statistiques répond aux besoins des utilisateurs</w:t>
            </w:r>
          </w:p>
        </w:tc>
        <w:tc>
          <w:tcPr>
            <w:tcW w:w="4562" w:type="dxa"/>
          </w:tcPr>
          <w:p w14:paraId="225C1AFB" w14:textId="476E46FE" w:rsidR="00CE1364" w:rsidRDefault="009B0ABB">
            <w:pPr>
              <w:pStyle w:val="P68B1DB1-Normal17"/>
              <w:keepNext/>
              <w:keepLines/>
            </w:pPr>
            <w:r>
              <w:t xml:space="preserve">Exigence </w:t>
            </w:r>
            <w:r w:rsidR="005430FB">
              <w:t>14.1, 14.3</w:t>
            </w:r>
          </w:p>
          <w:p w14:paraId="235AEE4D" w14:textId="6CA652F1" w:rsidR="00CE1364" w:rsidRDefault="009B0ABB">
            <w:pPr>
              <w:pStyle w:val="P68B1DB1-Normal17"/>
              <w:keepNext/>
              <w:keepLines/>
            </w:pPr>
            <w:r>
              <w:t xml:space="preserve">Exigence </w:t>
            </w:r>
            <w:r w:rsidR="005430FB">
              <w:t>15.1</w:t>
            </w:r>
          </w:p>
          <w:p w14:paraId="67F8C0CA" w14:textId="09259A44" w:rsidR="00CE1364" w:rsidRDefault="009B0ABB">
            <w:pPr>
              <w:pStyle w:val="P68B1DB1-Normal17"/>
              <w:keepNext/>
              <w:keepLines/>
            </w:pPr>
            <w:r>
              <w:t xml:space="preserve">Exigence </w:t>
            </w:r>
            <w:r w:rsidR="005430FB">
              <w:t>17.4</w:t>
            </w:r>
          </w:p>
          <w:p w14:paraId="1BB5DBA5" w14:textId="029BDE0D" w:rsidR="00CE1364" w:rsidRDefault="009B0ABB">
            <w:pPr>
              <w:pStyle w:val="P68B1DB1-Normal17"/>
              <w:keepNext/>
              <w:keepLines/>
            </w:pPr>
            <w:r>
              <w:t xml:space="preserve">Exigence </w:t>
            </w:r>
            <w:r w:rsidR="005430FB">
              <w:t>19.2</w:t>
            </w:r>
          </w:p>
        </w:tc>
      </w:tr>
      <w:tr w:rsidR="00CE1364" w14:paraId="1BF1451E" w14:textId="77777777">
        <w:tc>
          <w:tcPr>
            <w:tcW w:w="9129" w:type="dxa"/>
            <w:gridSpan w:val="2"/>
            <w:shd w:val="clear" w:color="auto" w:fill="D9D9D9" w:themeFill="background1" w:themeFillShade="D9"/>
          </w:tcPr>
          <w:p w14:paraId="72ED7D6A" w14:textId="30A246CE" w:rsidR="00CE1364" w:rsidRDefault="005430FB" w:rsidP="009B0ABB">
            <w:pPr>
              <w:pStyle w:val="P68B1DB1-Normal1"/>
              <w:keepNext/>
              <w:keepLines/>
            </w:pPr>
            <w:r>
              <w:t xml:space="preserve">Considération </w:t>
            </w:r>
            <w:r w:rsidR="00FE65F6">
              <w:t xml:space="preserve">générale </w:t>
            </w:r>
            <w:r>
              <w:t>1: Besoins des utilisateurs en matière de statistiques pertinentes*</w:t>
            </w:r>
          </w:p>
        </w:tc>
      </w:tr>
      <w:tr w:rsidR="00CE1364" w14:paraId="2016BE34" w14:textId="77777777">
        <w:tc>
          <w:tcPr>
            <w:tcW w:w="4567" w:type="dxa"/>
          </w:tcPr>
          <w:p w14:paraId="11F5623F" w14:textId="5C831B83" w:rsidR="00CE1364" w:rsidRDefault="005430FB">
            <w:pPr>
              <w:pStyle w:val="P68B1DB1-Normal17"/>
            </w:pPr>
            <w:r>
              <w:t>CR 1: L’utilisation de</w:t>
            </w:r>
            <w:r w:rsidR="00F852B0">
              <w:t>s</w:t>
            </w:r>
            <w:r>
              <w:t xml:space="preserve"> données administratives et autres </w:t>
            </w:r>
            <w:r w:rsidR="00FE65F6">
              <w:t xml:space="preserve">sources de données </w:t>
            </w:r>
            <w:r>
              <w:t>doit répondre à un ensemble de conditions préalables et tenir compte des besoins des utilisateurs.</w:t>
            </w:r>
          </w:p>
        </w:tc>
        <w:tc>
          <w:tcPr>
            <w:tcW w:w="4562" w:type="dxa"/>
          </w:tcPr>
          <w:p w14:paraId="0DC6D645" w14:textId="2CC356CB" w:rsidR="00CE1364" w:rsidRDefault="009B0ABB">
            <w:pPr>
              <w:pStyle w:val="P68B1DB1-Normal17"/>
            </w:pPr>
            <w:r>
              <w:t xml:space="preserve">Exigence </w:t>
            </w:r>
            <w:r w:rsidR="005430FB">
              <w:t>14.1, 14.3</w:t>
            </w:r>
          </w:p>
        </w:tc>
      </w:tr>
      <w:tr w:rsidR="00CE1364" w14:paraId="5819E1C1" w14:textId="77777777">
        <w:tc>
          <w:tcPr>
            <w:tcW w:w="4567" w:type="dxa"/>
          </w:tcPr>
          <w:p w14:paraId="10DA60F0" w14:textId="0D4D15B1" w:rsidR="00CE1364" w:rsidRDefault="005430FB">
            <w:pPr>
              <w:pStyle w:val="P68B1DB1-Normal17"/>
              <w:keepNext/>
              <w:keepLines/>
            </w:pPr>
            <w:r>
              <w:t>CR10: La diffusion des résultats statistiques répond aux besoins des utilisateurs</w:t>
            </w:r>
          </w:p>
        </w:tc>
        <w:tc>
          <w:tcPr>
            <w:tcW w:w="4562" w:type="dxa"/>
          </w:tcPr>
          <w:p w14:paraId="24C5923C" w14:textId="5CE57A4B" w:rsidR="00CE1364" w:rsidRDefault="009B0ABB">
            <w:pPr>
              <w:pStyle w:val="P68B1DB1-Normal17"/>
              <w:keepNext/>
              <w:keepLines/>
            </w:pPr>
            <w:r>
              <w:t xml:space="preserve">Exigence </w:t>
            </w:r>
            <w:r w:rsidR="005430FB">
              <w:t>14.1, 14.3</w:t>
            </w:r>
          </w:p>
          <w:p w14:paraId="54EBB54E" w14:textId="6A917333" w:rsidR="00CE1364" w:rsidRDefault="009B0ABB">
            <w:pPr>
              <w:pStyle w:val="P68B1DB1-Normal17"/>
              <w:keepNext/>
              <w:keepLines/>
            </w:pPr>
            <w:r>
              <w:t xml:space="preserve">Exigence </w:t>
            </w:r>
            <w:r w:rsidR="005430FB">
              <w:t>17.4</w:t>
            </w:r>
          </w:p>
          <w:p w14:paraId="71976566" w14:textId="68FD5134" w:rsidR="00CE1364" w:rsidRDefault="009B0ABB">
            <w:pPr>
              <w:pStyle w:val="P68B1DB1-Normal17"/>
              <w:keepNext/>
              <w:keepLines/>
            </w:pPr>
            <w:r>
              <w:t xml:space="preserve">Exigence </w:t>
            </w:r>
            <w:r w:rsidR="005430FB">
              <w:t>19.2</w:t>
            </w:r>
          </w:p>
        </w:tc>
      </w:tr>
      <w:tr w:rsidR="00CE1364" w14:paraId="3E868C19" w14:textId="77777777">
        <w:tc>
          <w:tcPr>
            <w:tcW w:w="9129" w:type="dxa"/>
            <w:gridSpan w:val="2"/>
          </w:tcPr>
          <w:p w14:paraId="238BA004" w14:textId="59212463" w:rsidR="00CE1364" w:rsidRDefault="005430FB" w:rsidP="009B0ABB">
            <w:pPr>
              <w:pStyle w:val="P68B1DB1-Normal1"/>
            </w:pPr>
            <w:r>
              <w:rPr>
                <w:highlight w:val="lightGray"/>
              </w:rPr>
              <w:t xml:space="preserve">Considération </w:t>
            </w:r>
            <w:r w:rsidR="00FE65F6">
              <w:rPr>
                <w:highlight w:val="lightGray"/>
              </w:rPr>
              <w:t xml:space="preserve">générale </w:t>
            </w:r>
            <w:r>
              <w:rPr>
                <w:highlight w:val="lightGray"/>
              </w:rPr>
              <w:t>2: Qualité des données d’entrée et des métadonnées</w:t>
            </w:r>
            <w:r>
              <w:t>*</w:t>
            </w:r>
          </w:p>
        </w:tc>
      </w:tr>
      <w:tr w:rsidR="00CE1364" w14:paraId="6013A099" w14:textId="77777777">
        <w:tc>
          <w:tcPr>
            <w:tcW w:w="4567" w:type="dxa"/>
          </w:tcPr>
          <w:p w14:paraId="4AB98255" w14:textId="677DC467" w:rsidR="00CE1364" w:rsidRDefault="005430FB" w:rsidP="009B0ABB">
            <w:pPr>
              <w:pStyle w:val="P68B1DB1-Normal17"/>
            </w:pPr>
            <w:r>
              <w:t xml:space="preserve">CR 6: </w:t>
            </w:r>
            <w:r>
              <w:rPr>
                <w:kern w:val="24"/>
              </w:rPr>
              <w:t>Le fournisseur de</w:t>
            </w:r>
            <w:r w:rsidR="00F852B0">
              <w:rPr>
                <w:kern w:val="24"/>
              </w:rPr>
              <w:t>s</w:t>
            </w:r>
            <w:r>
              <w:rPr>
                <w:kern w:val="24"/>
              </w:rPr>
              <w:t xml:space="preserve"> données assure la qualité de ses données et produit un rapport de qualité (ou une déclaration de qualité) en coopération avec </w:t>
            </w:r>
            <w:r w:rsidR="009B0ABB">
              <w:rPr>
                <w:kern w:val="24"/>
              </w:rPr>
              <w:t xml:space="preserve">l’organisme </w:t>
            </w:r>
            <w:r>
              <w:rPr>
                <w:kern w:val="24"/>
              </w:rPr>
              <w:t>statistique, le cas échéant.</w:t>
            </w:r>
          </w:p>
        </w:tc>
        <w:tc>
          <w:tcPr>
            <w:tcW w:w="4562" w:type="dxa"/>
          </w:tcPr>
          <w:p w14:paraId="49C9DC42" w14:textId="77777777" w:rsidR="00CE1364" w:rsidRDefault="005430FB">
            <w:pPr>
              <w:pStyle w:val="P68B1DB1-Normal17"/>
            </w:pPr>
            <w:r>
              <w:t>Exigence 2.7</w:t>
            </w:r>
          </w:p>
        </w:tc>
      </w:tr>
      <w:tr w:rsidR="00CE1364" w14:paraId="50BE55C8" w14:textId="77777777">
        <w:tc>
          <w:tcPr>
            <w:tcW w:w="4567" w:type="dxa"/>
          </w:tcPr>
          <w:p w14:paraId="6C04F881" w14:textId="0007AEBF" w:rsidR="00CE1364" w:rsidRDefault="005430FB" w:rsidP="009B0ABB">
            <w:pPr>
              <w:pStyle w:val="P68B1DB1-Normal17"/>
            </w:pPr>
            <w:r>
              <w:t xml:space="preserve">CR 7: </w:t>
            </w:r>
            <w:r>
              <w:rPr>
                <w:kern w:val="24"/>
              </w:rPr>
              <w:t xml:space="preserve">La qualité des données </w:t>
            </w:r>
            <w:r w:rsidR="00F852B0">
              <w:rPr>
                <w:kern w:val="24"/>
              </w:rPr>
              <w:t>de base</w:t>
            </w:r>
            <w:r>
              <w:rPr>
                <w:kern w:val="24"/>
              </w:rPr>
              <w:t xml:space="preserve"> est systématiquement évaluée par l’organisme statistique.</w:t>
            </w:r>
          </w:p>
        </w:tc>
        <w:tc>
          <w:tcPr>
            <w:tcW w:w="4562" w:type="dxa"/>
          </w:tcPr>
          <w:p w14:paraId="15BE4E6C" w14:textId="77777777" w:rsidR="00CE1364" w:rsidRDefault="005430FB">
            <w:pPr>
              <w:pStyle w:val="P68B1DB1-Normal17"/>
            </w:pPr>
            <w:r>
              <w:t>Exigence 10.3</w:t>
            </w:r>
          </w:p>
          <w:p w14:paraId="40D34BE4" w14:textId="77777777" w:rsidR="00CE1364" w:rsidRDefault="005430FB">
            <w:pPr>
              <w:pStyle w:val="P68B1DB1-Normal17"/>
            </w:pPr>
            <w:r>
              <w:t>Exigence 12.3</w:t>
            </w:r>
          </w:p>
          <w:p w14:paraId="05134EAF" w14:textId="6580091A" w:rsidR="00CE1364" w:rsidRDefault="005430FB">
            <w:pPr>
              <w:pStyle w:val="P68B1DB1-Normal17"/>
            </w:pPr>
            <w:r>
              <w:t>Exigence 15.1</w:t>
            </w:r>
          </w:p>
        </w:tc>
      </w:tr>
      <w:tr w:rsidR="00CE1364" w14:paraId="31D59990" w14:textId="77777777">
        <w:tc>
          <w:tcPr>
            <w:tcW w:w="4567" w:type="dxa"/>
          </w:tcPr>
          <w:p w14:paraId="30EDBB10" w14:textId="41C7803F" w:rsidR="00CE1364" w:rsidRDefault="005430FB">
            <w:pPr>
              <w:pStyle w:val="P68B1DB1-Normal17"/>
            </w:pPr>
            <w:r>
              <w:t xml:space="preserve">CR 8: </w:t>
            </w:r>
            <w:r>
              <w:rPr>
                <w:kern w:val="24"/>
              </w:rPr>
              <w:t xml:space="preserve">Il existe des métadonnées complètes sur les données </w:t>
            </w:r>
            <w:r w:rsidR="00F852B0">
              <w:rPr>
                <w:kern w:val="24"/>
              </w:rPr>
              <w:t>de base</w:t>
            </w:r>
          </w:p>
        </w:tc>
        <w:tc>
          <w:tcPr>
            <w:tcW w:w="4562" w:type="dxa"/>
          </w:tcPr>
          <w:p w14:paraId="2B2E33C0" w14:textId="77777777" w:rsidR="00CE1364" w:rsidRDefault="005430FB">
            <w:pPr>
              <w:pStyle w:val="P68B1DB1-Normal17"/>
            </w:pPr>
            <w:r>
              <w:t>Exigence 10.3</w:t>
            </w:r>
          </w:p>
          <w:p w14:paraId="2684058C" w14:textId="77777777" w:rsidR="00CE1364" w:rsidRDefault="005430FB">
            <w:pPr>
              <w:pStyle w:val="P68B1DB1-Normal17"/>
            </w:pPr>
            <w:r>
              <w:t xml:space="preserve">Exigence 12.3, 12,5 </w:t>
            </w:r>
          </w:p>
        </w:tc>
      </w:tr>
      <w:tr w:rsidR="00CE1364" w14:paraId="7EECC060" w14:textId="77777777">
        <w:tc>
          <w:tcPr>
            <w:tcW w:w="4567" w:type="dxa"/>
          </w:tcPr>
          <w:p w14:paraId="553AD8F6" w14:textId="32E9B110" w:rsidR="00CE1364" w:rsidRDefault="005430FB" w:rsidP="009B0ABB">
            <w:pPr>
              <w:pStyle w:val="P68B1DB1-Normal17"/>
            </w:pPr>
            <w:r>
              <w:t xml:space="preserve">CR 9: </w:t>
            </w:r>
            <w:r>
              <w:rPr>
                <w:kern w:val="24"/>
              </w:rPr>
              <w:t>9.</w:t>
            </w:r>
            <w:r>
              <w:rPr>
                <w:kern w:val="24"/>
              </w:rPr>
              <w:tab/>
              <w:t xml:space="preserve">Le traitement des données </w:t>
            </w:r>
            <w:r w:rsidR="00F852B0">
              <w:rPr>
                <w:kern w:val="24"/>
              </w:rPr>
              <w:t>de base</w:t>
            </w:r>
            <w:r>
              <w:rPr>
                <w:kern w:val="24"/>
              </w:rPr>
              <w:t xml:space="preserve"> par l’organisme statistique respecte les normes, les </w:t>
            </w:r>
            <w:r w:rsidR="009B0ABB">
              <w:rPr>
                <w:kern w:val="24"/>
              </w:rPr>
              <w:t xml:space="preserve">lignes </w:t>
            </w:r>
            <w:r>
              <w:rPr>
                <w:kern w:val="24"/>
              </w:rPr>
              <w:t>direct</w:t>
            </w:r>
            <w:r w:rsidR="009B0ABB">
              <w:rPr>
                <w:kern w:val="24"/>
              </w:rPr>
              <w:t>r</w:t>
            </w:r>
            <w:r>
              <w:rPr>
                <w:kern w:val="24"/>
              </w:rPr>
              <w:t>i</w:t>
            </w:r>
            <w:r w:rsidR="009B0ABB">
              <w:rPr>
                <w:kern w:val="24"/>
              </w:rPr>
              <w:t>c</w:t>
            </w:r>
            <w:r>
              <w:rPr>
                <w:kern w:val="24"/>
              </w:rPr>
              <w:t>es et les meilleures pratiques</w:t>
            </w:r>
          </w:p>
        </w:tc>
        <w:tc>
          <w:tcPr>
            <w:tcW w:w="4562" w:type="dxa"/>
          </w:tcPr>
          <w:p w14:paraId="4DA245FC" w14:textId="77777777" w:rsidR="00CE1364" w:rsidRDefault="005430FB">
            <w:pPr>
              <w:pStyle w:val="P68B1DB1-Normal17"/>
            </w:pPr>
            <w:r>
              <w:t>Exigences 12.1, 12.2, 12.3</w:t>
            </w:r>
          </w:p>
          <w:p w14:paraId="6563AE9C" w14:textId="77777777" w:rsidR="00CE1364" w:rsidRDefault="005430FB">
            <w:pPr>
              <w:pStyle w:val="P68B1DB1-Normal17"/>
            </w:pPr>
            <w:r>
              <w:t>Exigence 8.5</w:t>
            </w:r>
          </w:p>
          <w:p w14:paraId="3C2E7D40" w14:textId="77777777" w:rsidR="00CE1364" w:rsidRDefault="005430FB">
            <w:pPr>
              <w:pStyle w:val="P68B1DB1-Normal17"/>
            </w:pPr>
            <w:r>
              <w:t>Exigences 10.1, 10.5</w:t>
            </w:r>
          </w:p>
          <w:p w14:paraId="5E87CD46" w14:textId="77777777" w:rsidR="00CE1364" w:rsidRDefault="005430FB">
            <w:pPr>
              <w:pStyle w:val="P68B1DB1-Normal17"/>
            </w:pPr>
            <w:r>
              <w:t>Exigence 11.5</w:t>
            </w:r>
          </w:p>
          <w:p w14:paraId="1ADAEC25" w14:textId="77777777" w:rsidR="00CE1364" w:rsidRDefault="005430FB">
            <w:pPr>
              <w:pStyle w:val="P68B1DB1-Normal17"/>
            </w:pPr>
            <w:r>
              <w:t>Exigence 13.4</w:t>
            </w:r>
          </w:p>
          <w:p w14:paraId="5BA208A1" w14:textId="77777777" w:rsidR="00CE1364" w:rsidRDefault="005430FB">
            <w:pPr>
              <w:pStyle w:val="P68B1DB1-Normal17"/>
            </w:pPr>
            <w:r>
              <w:t>Exigence 15.3</w:t>
            </w:r>
          </w:p>
          <w:p w14:paraId="7231E360" w14:textId="77777777" w:rsidR="00CE1364" w:rsidRDefault="005430FB">
            <w:pPr>
              <w:pStyle w:val="P68B1DB1-Normal17"/>
            </w:pPr>
            <w:r>
              <w:lastRenderedPageBreak/>
              <w:t>Exigence 18.2</w:t>
            </w:r>
          </w:p>
        </w:tc>
      </w:tr>
      <w:tr w:rsidR="00CE1364" w14:paraId="7A580591" w14:textId="77777777">
        <w:tc>
          <w:tcPr>
            <w:tcW w:w="4567" w:type="dxa"/>
          </w:tcPr>
          <w:p w14:paraId="3E072E9E" w14:textId="4011A857" w:rsidR="00CE1364" w:rsidRDefault="005430FB">
            <w:pPr>
              <w:pStyle w:val="P68B1DB1-Normal17"/>
              <w:keepNext/>
              <w:keepLines/>
            </w:pPr>
            <w:r>
              <w:t>CR10: La diffusion des résultats statistiques répond aux besoins des utilisateurs</w:t>
            </w:r>
          </w:p>
        </w:tc>
        <w:tc>
          <w:tcPr>
            <w:tcW w:w="4562" w:type="dxa"/>
          </w:tcPr>
          <w:p w14:paraId="3494373F" w14:textId="4A3A7ECA" w:rsidR="00CE1364" w:rsidRDefault="009B0ABB">
            <w:pPr>
              <w:pStyle w:val="P68B1DB1-Normal17"/>
              <w:keepNext/>
              <w:keepLines/>
            </w:pPr>
            <w:r>
              <w:t xml:space="preserve">Exigence </w:t>
            </w:r>
            <w:r w:rsidR="005430FB">
              <w:t>14.1, 14.3</w:t>
            </w:r>
          </w:p>
          <w:p w14:paraId="3518292E" w14:textId="411EEC44" w:rsidR="00CE1364" w:rsidRDefault="009B0ABB">
            <w:pPr>
              <w:pStyle w:val="P68B1DB1-Normal17"/>
              <w:keepNext/>
              <w:keepLines/>
            </w:pPr>
            <w:r>
              <w:t xml:space="preserve">Exigence </w:t>
            </w:r>
            <w:r w:rsidR="005430FB">
              <w:t>17.4</w:t>
            </w:r>
          </w:p>
          <w:p w14:paraId="7AF09383" w14:textId="5A5AC139" w:rsidR="00CE1364" w:rsidRDefault="009B0ABB">
            <w:pPr>
              <w:pStyle w:val="P68B1DB1-Normal17"/>
              <w:keepNext/>
              <w:keepLines/>
            </w:pPr>
            <w:r>
              <w:t xml:space="preserve">Exigence </w:t>
            </w:r>
            <w:r w:rsidR="005430FB">
              <w:t>19.2</w:t>
            </w:r>
          </w:p>
        </w:tc>
      </w:tr>
    </w:tbl>
    <w:p w14:paraId="6CB1DFCD" w14:textId="0EDCB0C7" w:rsidR="00CE1364" w:rsidRDefault="005430FB">
      <w:pPr>
        <w:pStyle w:val="P68B1DB1-Normal32"/>
      </w:pPr>
      <w:r>
        <w:t xml:space="preserve">* Toutes les exigences du </w:t>
      </w:r>
      <w:r w:rsidR="00F852B0">
        <w:t xml:space="preserve">CNAQ </w:t>
      </w:r>
      <w:r>
        <w:t xml:space="preserve">de l’ONU qui peuvent être </w:t>
      </w:r>
      <w:r w:rsidR="00F852B0">
        <w:t xml:space="preserve">allignées </w:t>
      </w:r>
      <w:r>
        <w:t>à une exigence critique spécifique ne s’appliquent pas aux considérations générales.</w:t>
      </w:r>
    </w:p>
    <w:p w14:paraId="3A87EA94" w14:textId="77777777" w:rsidR="00CE1364" w:rsidRDefault="00CE1364">
      <w:pPr>
        <w:spacing w:after="0" w:line="240" w:lineRule="auto"/>
        <w:contextualSpacing/>
        <w:jc w:val="center"/>
        <w:rPr>
          <w:rFonts w:asciiTheme="majorBidi" w:eastAsiaTheme="majorEastAsia" w:hAnsiTheme="majorBidi" w:cstheme="majorBidi"/>
          <w:b/>
        </w:rPr>
      </w:pPr>
    </w:p>
    <w:p w14:paraId="6D60BAB9" w14:textId="1025DD39" w:rsidR="00CE1364" w:rsidRDefault="005430FB">
      <w:pPr>
        <w:pStyle w:val="P68B1DB1-Normal33"/>
        <w:spacing w:after="0" w:line="240" w:lineRule="auto"/>
        <w:contextualSpacing/>
        <w:jc w:val="center"/>
      </w:pPr>
      <w:r>
        <w:t>*****</w:t>
      </w:r>
    </w:p>
    <w:p w14:paraId="5AA3A940" w14:textId="77777777" w:rsidR="006A25D8" w:rsidRDefault="006A25D8">
      <w:pPr>
        <w:pStyle w:val="P68B1DB1-Normal33"/>
        <w:spacing w:after="0" w:line="240" w:lineRule="auto"/>
        <w:contextualSpacing/>
        <w:jc w:val="center"/>
      </w:pPr>
    </w:p>
    <w:p w14:paraId="1903AA5F" w14:textId="77777777" w:rsidR="006A25D8" w:rsidRDefault="006A25D8">
      <w:pPr>
        <w:pStyle w:val="P68B1DB1-Normal33"/>
        <w:spacing w:after="0" w:line="240" w:lineRule="auto"/>
        <w:contextualSpacing/>
        <w:jc w:val="center"/>
      </w:pPr>
    </w:p>
    <w:p w14:paraId="2330F911" w14:textId="77777777" w:rsidR="006A25D8" w:rsidRDefault="006A25D8">
      <w:pPr>
        <w:pStyle w:val="P68B1DB1-Normal33"/>
        <w:spacing w:after="0" w:line="240" w:lineRule="auto"/>
        <w:contextualSpacing/>
        <w:jc w:val="center"/>
      </w:pPr>
    </w:p>
    <w:p w14:paraId="43E1F5E0" w14:textId="77777777" w:rsidR="006A25D8" w:rsidRDefault="006A25D8">
      <w:pPr>
        <w:pStyle w:val="P68B1DB1-Normal33"/>
        <w:spacing w:after="0" w:line="240" w:lineRule="auto"/>
        <w:contextualSpacing/>
        <w:jc w:val="center"/>
      </w:pPr>
    </w:p>
    <w:p w14:paraId="45EAE500" w14:textId="77777777" w:rsidR="006A25D8" w:rsidRDefault="006A25D8">
      <w:pPr>
        <w:pStyle w:val="P68B1DB1-Normal33"/>
        <w:spacing w:after="0" w:line="240" w:lineRule="auto"/>
        <w:contextualSpacing/>
        <w:jc w:val="center"/>
      </w:pPr>
    </w:p>
    <w:p w14:paraId="02CBE8F0" w14:textId="77777777" w:rsidR="006A25D8" w:rsidRDefault="006A25D8">
      <w:pPr>
        <w:pStyle w:val="P68B1DB1-Normal33"/>
        <w:spacing w:after="0" w:line="240" w:lineRule="auto"/>
        <w:contextualSpacing/>
        <w:jc w:val="center"/>
      </w:pPr>
    </w:p>
    <w:p w14:paraId="07494E44" w14:textId="77777777" w:rsidR="006A25D8" w:rsidRDefault="006A25D8">
      <w:pPr>
        <w:pStyle w:val="P68B1DB1-Normal33"/>
        <w:spacing w:after="0" w:line="240" w:lineRule="auto"/>
        <w:contextualSpacing/>
        <w:jc w:val="center"/>
      </w:pPr>
    </w:p>
    <w:p w14:paraId="629A1A49" w14:textId="77777777" w:rsidR="006A25D8" w:rsidRDefault="006A25D8">
      <w:pPr>
        <w:pStyle w:val="P68B1DB1-Normal33"/>
        <w:spacing w:after="0" w:line="240" w:lineRule="auto"/>
        <w:contextualSpacing/>
        <w:jc w:val="center"/>
      </w:pPr>
    </w:p>
    <w:p w14:paraId="1286749A" w14:textId="77777777" w:rsidR="006A25D8" w:rsidRDefault="006A25D8">
      <w:pPr>
        <w:pStyle w:val="P68B1DB1-Normal33"/>
        <w:spacing w:after="0" w:line="240" w:lineRule="auto"/>
        <w:contextualSpacing/>
        <w:jc w:val="center"/>
      </w:pPr>
    </w:p>
    <w:p w14:paraId="25761665" w14:textId="77777777" w:rsidR="006A25D8" w:rsidRDefault="006A25D8">
      <w:pPr>
        <w:pStyle w:val="P68B1DB1-Normal33"/>
        <w:spacing w:after="0" w:line="240" w:lineRule="auto"/>
        <w:contextualSpacing/>
        <w:jc w:val="center"/>
      </w:pPr>
    </w:p>
    <w:p w14:paraId="1AD1C5CD" w14:textId="77777777" w:rsidR="006A25D8" w:rsidRDefault="006A25D8">
      <w:pPr>
        <w:pStyle w:val="P68B1DB1-Normal33"/>
        <w:spacing w:after="0" w:line="240" w:lineRule="auto"/>
        <w:contextualSpacing/>
        <w:jc w:val="center"/>
      </w:pPr>
    </w:p>
    <w:p w14:paraId="54F21CF5" w14:textId="77777777" w:rsidR="006A25D8" w:rsidRDefault="006A25D8">
      <w:pPr>
        <w:pStyle w:val="P68B1DB1-Normal33"/>
        <w:spacing w:after="0" w:line="240" w:lineRule="auto"/>
        <w:contextualSpacing/>
        <w:jc w:val="center"/>
      </w:pPr>
    </w:p>
    <w:p w14:paraId="2B838574" w14:textId="77777777" w:rsidR="006A25D8" w:rsidRDefault="006A25D8">
      <w:pPr>
        <w:pStyle w:val="P68B1DB1-Normal33"/>
        <w:spacing w:after="0" w:line="240" w:lineRule="auto"/>
        <w:contextualSpacing/>
        <w:jc w:val="center"/>
      </w:pPr>
    </w:p>
    <w:p w14:paraId="6ECC1D38" w14:textId="77777777" w:rsidR="006A25D8" w:rsidRDefault="006A25D8">
      <w:pPr>
        <w:pStyle w:val="P68B1DB1-Normal33"/>
        <w:spacing w:after="0" w:line="240" w:lineRule="auto"/>
        <w:contextualSpacing/>
        <w:jc w:val="center"/>
      </w:pPr>
    </w:p>
    <w:p w14:paraId="6D0F97C8" w14:textId="77777777" w:rsidR="006A25D8" w:rsidRDefault="006A25D8">
      <w:pPr>
        <w:pStyle w:val="P68B1DB1-Normal33"/>
        <w:spacing w:after="0" w:line="240" w:lineRule="auto"/>
        <w:contextualSpacing/>
        <w:jc w:val="center"/>
      </w:pPr>
    </w:p>
    <w:p w14:paraId="26751AB4" w14:textId="77777777" w:rsidR="006A25D8" w:rsidRDefault="006A25D8">
      <w:pPr>
        <w:pStyle w:val="P68B1DB1-Normal33"/>
        <w:spacing w:after="0" w:line="240" w:lineRule="auto"/>
        <w:contextualSpacing/>
        <w:jc w:val="center"/>
      </w:pPr>
    </w:p>
    <w:p w14:paraId="6BD7F310" w14:textId="77777777" w:rsidR="006A25D8" w:rsidRDefault="006A25D8">
      <w:pPr>
        <w:pStyle w:val="P68B1DB1-Normal33"/>
        <w:spacing w:after="0" w:line="240" w:lineRule="auto"/>
        <w:contextualSpacing/>
        <w:jc w:val="center"/>
      </w:pPr>
    </w:p>
    <w:p w14:paraId="1F261691" w14:textId="77777777" w:rsidR="006A25D8" w:rsidRDefault="006A25D8">
      <w:pPr>
        <w:pStyle w:val="P68B1DB1-Normal33"/>
        <w:spacing w:after="0" w:line="240" w:lineRule="auto"/>
        <w:contextualSpacing/>
        <w:jc w:val="center"/>
      </w:pPr>
    </w:p>
    <w:p w14:paraId="127DA9C7" w14:textId="77777777" w:rsidR="006A25D8" w:rsidRDefault="006A25D8">
      <w:pPr>
        <w:pStyle w:val="P68B1DB1-Normal33"/>
        <w:spacing w:after="0" w:line="240" w:lineRule="auto"/>
        <w:contextualSpacing/>
        <w:jc w:val="center"/>
      </w:pPr>
    </w:p>
    <w:p w14:paraId="2EAECC5D" w14:textId="77777777" w:rsidR="006A25D8" w:rsidRDefault="006A25D8">
      <w:pPr>
        <w:pStyle w:val="P68B1DB1-Normal33"/>
        <w:spacing w:after="0" w:line="240" w:lineRule="auto"/>
        <w:contextualSpacing/>
        <w:jc w:val="center"/>
      </w:pPr>
    </w:p>
    <w:p w14:paraId="53EC4FAD" w14:textId="77777777" w:rsidR="006A25D8" w:rsidRDefault="006A25D8">
      <w:pPr>
        <w:pStyle w:val="P68B1DB1-Normal33"/>
        <w:spacing w:after="0" w:line="240" w:lineRule="auto"/>
        <w:contextualSpacing/>
        <w:jc w:val="center"/>
      </w:pPr>
    </w:p>
    <w:p w14:paraId="095B1121" w14:textId="77777777" w:rsidR="006A25D8" w:rsidRDefault="006A25D8">
      <w:pPr>
        <w:pStyle w:val="P68B1DB1-Normal33"/>
        <w:spacing w:after="0" w:line="240" w:lineRule="auto"/>
        <w:contextualSpacing/>
        <w:jc w:val="center"/>
      </w:pPr>
    </w:p>
    <w:p w14:paraId="50EADE39" w14:textId="77777777" w:rsidR="006A25D8" w:rsidRDefault="006A25D8">
      <w:pPr>
        <w:pStyle w:val="P68B1DB1-Normal33"/>
        <w:spacing w:after="0" w:line="240" w:lineRule="auto"/>
        <w:contextualSpacing/>
        <w:jc w:val="center"/>
      </w:pPr>
    </w:p>
    <w:p w14:paraId="2F5B0B0A" w14:textId="77777777" w:rsidR="006A25D8" w:rsidRDefault="006A25D8">
      <w:pPr>
        <w:pStyle w:val="P68B1DB1-Normal33"/>
        <w:spacing w:after="0" w:line="240" w:lineRule="auto"/>
        <w:contextualSpacing/>
        <w:jc w:val="center"/>
      </w:pPr>
    </w:p>
    <w:p w14:paraId="2BA745D0" w14:textId="77777777" w:rsidR="006A25D8" w:rsidRDefault="006A25D8">
      <w:pPr>
        <w:pStyle w:val="P68B1DB1-Normal33"/>
        <w:spacing w:after="0" w:line="240" w:lineRule="auto"/>
        <w:contextualSpacing/>
        <w:jc w:val="center"/>
      </w:pPr>
    </w:p>
    <w:p w14:paraId="3D419717" w14:textId="77777777" w:rsidR="006A25D8" w:rsidRDefault="006A25D8">
      <w:pPr>
        <w:pStyle w:val="P68B1DB1-Normal33"/>
        <w:spacing w:after="0" w:line="240" w:lineRule="auto"/>
        <w:contextualSpacing/>
        <w:jc w:val="center"/>
      </w:pPr>
    </w:p>
    <w:p w14:paraId="06657BD1" w14:textId="77777777" w:rsidR="006A25D8" w:rsidRDefault="006A25D8">
      <w:pPr>
        <w:pStyle w:val="P68B1DB1-Normal33"/>
        <w:spacing w:after="0" w:line="240" w:lineRule="auto"/>
        <w:contextualSpacing/>
        <w:jc w:val="center"/>
      </w:pPr>
    </w:p>
    <w:p w14:paraId="3B852BDF" w14:textId="77777777" w:rsidR="006A25D8" w:rsidRDefault="006A25D8">
      <w:pPr>
        <w:pStyle w:val="P68B1DB1-Normal33"/>
        <w:spacing w:after="0" w:line="240" w:lineRule="auto"/>
        <w:contextualSpacing/>
        <w:jc w:val="center"/>
      </w:pPr>
    </w:p>
    <w:p w14:paraId="7AA13105" w14:textId="77777777" w:rsidR="006A25D8" w:rsidRDefault="006A25D8">
      <w:pPr>
        <w:pStyle w:val="P68B1DB1-Normal33"/>
        <w:spacing w:after="0" w:line="240" w:lineRule="auto"/>
        <w:contextualSpacing/>
        <w:jc w:val="center"/>
      </w:pPr>
    </w:p>
    <w:p w14:paraId="5020E365" w14:textId="77777777" w:rsidR="006A25D8" w:rsidRDefault="006A25D8">
      <w:pPr>
        <w:pStyle w:val="P68B1DB1-Normal33"/>
        <w:spacing w:after="0" w:line="240" w:lineRule="auto"/>
        <w:contextualSpacing/>
        <w:jc w:val="center"/>
      </w:pPr>
    </w:p>
    <w:p w14:paraId="28EF27A9" w14:textId="77777777" w:rsidR="006A25D8" w:rsidRDefault="006A25D8">
      <w:pPr>
        <w:pStyle w:val="P68B1DB1-Normal33"/>
        <w:spacing w:after="0" w:line="240" w:lineRule="auto"/>
        <w:contextualSpacing/>
        <w:jc w:val="center"/>
      </w:pPr>
    </w:p>
    <w:p w14:paraId="6AFCD7F7" w14:textId="77777777" w:rsidR="006A25D8" w:rsidRDefault="006A25D8">
      <w:pPr>
        <w:pStyle w:val="P68B1DB1-Normal33"/>
        <w:spacing w:after="0" w:line="240" w:lineRule="auto"/>
        <w:contextualSpacing/>
        <w:jc w:val="center"/>
      </w:pPr>
    </w:p>
    <w:p w14:paraId="78E038AD" w14:textId="77777777" w:rsidR="006A25D8" w:rsidRDefault="006A25D8">
      <w:pPr>
        <w:pStyle w:val="P68B1DB1-Normal33"/>
        <w:spacing w:after="0" w:line="240" w:lineRule="auto"/>
        <w:contextualSpacing/>
        <w:jc w:val="center"/>
      </w:pPr>
    </w:p>
    <w:p w14:paraId="79857844" w14:textId="77777777" w:rsidR="006A25D8" w:rsidRDefault="006A25D8">
      <w:pPr>
        <w:pStyle w:val="P68B1DB1-Normal33"/>
        <w:spacing w:after="0" w:line="240" w:lineRule="auto"/>
        <w:contextualSpacing/>
        <w:jc w:val="center"/>
      </w:pPr>
    </w:p>
    <w:p w14:paraId="5DC36DC0" w14:textId="77777777" w:rsidR="006A25D8" w:rsidRDefault="006A25D8">
      <w:pPr>
        <w:pStyle w:val="P68B1DB1-Normal33"/>
        <w:spacing w:after="0" w:line="240" w:lineRule="auto"/>
        <w:contextualSpacing/>
        <w:jc w:val="center"/>
      </w:pPr>
    </w:p>
    <w:p w14:paraId="61C85360" w14:textId="77777777" w:rsidR="006A25D8" w:rsidRDefault="006A25D8">
      <w:pPr>
        <w:pStyle w:val="P68B1DB1-Normal33"/>
        <w:spacing w:after="0" w:line="240" w:lineRule="auto"/>
        <w:contextualSpacing/>
        <w:jc w:val="center"/>
      </w:pPr>
    </w:p>
    <w:p w14:paraId="1BE362D9" w14:textId="77777777" w:rsidR="006A25D8" w:rsidRDefault="006A25D8">
      <w:pPr>
        <w:pStyle w:val="P68B1DB1-Normal33"/>
        <w:spacing w:after="0" w:line="240" w:lineRule="auto"/>
        <w:contextualSpacing/>
        <w:jc w:val="center"/>
      </w:pPr>
    </w:p>
    <w:p w14:paraId="14E0050E" w14:textId="77777777" w:rsidR="006A25D8" w:rsidRDefault="006A25D8">
      <w:pPr>
        <w:pStyle w:val="P68B1DB1-Normal33"/>
        <w:spacing w:after="0" w:line="240" w:lineRule="auto"/>
        <w:contextualSpacing/>
        <w:jc w:val="center"/>
      </w:pPr>
    </w:p>
    <w:p w14:paraId="23F233E7" w14:textId="77777777" w:rsidR="006A25D8" w:rsidRDefault="006A25D8">
      <w:pPr>
        <w:pStyle w:val="P68B1DB1-Normal33"/>
        <w:spacing w:after="0" w:line="240" w:lineRule="auto"/>
        <w:contextualSpacing/>
        <w:jc w:val="center"/>
      </w:pPr>
    </w:p>
    <w:p w14:paraId="178AE7B6" w14:textId="77777777" w:rsidR="006A25D8" w:rsidRDefault="006A25D8">
      <w:pPr>
        <w:pStyle w:val="P68B1DB1-Normal33"/>
        <w:spacing w:after="0" w:line="240" w:lineRule="auto"/>
        <w:contextualSpacing/>
        <w:jc w:val="center"/>
      </w:pPr>
    </w:p>
    <w:p w14:paraId="798C38D1" w14:textId="77777777" w:rsidR="006A25D8" w:rsidRPr="006A25D8" w:rsidRDefault="006A25D8" w:rsidP="006A25D8">
      <w:pPr>
        <w:spacing w:after="0" w:line="260" w:lineRule="exact"/>
        <w:rPr>
          <w:rFonts w:ascii="Times New Roman" w:eastAsia="DengXian" w:hAnsi="Times New Roman" w:cs="Times New Roman"/>
          <w:kern w:val="2"/>
          <w:szCs w:val="22"/>
          <w:lang w:val="fr-FR" w:eastAsia="zh-CN"/>
          <w14:ligatures w14:val="standardContextual"/>
        </w:rPr>
      </w:pPr>
      <w:r w:rsidRPr="006A25D8">
        <w:rPr>
          <w:rFonts w:ascii="Times New Roman" w:eastAsia="DengXian" w:hAnsi="Times New Roman" w:cs="Times New Roman"/>
          <w:kern w:val="2"/>
          <w:szCs w:val="22"/>
          <w:lang w:val="fr-FR" w:eastAsia="zh-CN"/>
          <w14:ligatures w14:val="standardContextual"/>
        </w:rPr>
        <w:lastRenderedPageBreak/>
        <w:t xml:space="preserve">Current version: </w:t>
      </w:r>
      <w:hyperlink r:id="rId11" w:history="1">
        <w:r w:rsidRPr="006A25D8">
          <w:rPr>
            <w:rFonts w:ascii="Times New Roman" w:eastAsia="DengXian" w:hAnsi="Times New Roman" w:cs="Times New Roman"/>
            <w:color w:val="0000FF"/>
            <w:kern w:val="2"/>
            <w:szCs w:val="22"/>
            <w:u w:val="single"/>
            <w:lang w:val="fr-FR" w:eastAsia="zh-CN"/>
            <w14:ligatures w14:val="standardContextual"/>
          </w:rPr>
          <w:t>https://forms.gle/G1y1s4GLbFytK5v16</w:t>
        </w:r>
      </w:hyperlink>
      <w:r w:rsidRPr="006A25D8">
        <w:rPr>
          <w:rFonts w:ascii="Times New Roman" w:eastAsia="DengXian" w:hAnsi="Times New Roman" w:cs="Times New Roman"/>
          <w:kern w:val="2"/>
          <w:szCs w:val="22"/>
          <w:lang w:val="fr-FR" w:eastAsia="zh-CN"/>
          <w14:ligatures w14:val="standardContextual"/>
        </w:rPr>
        <w:t xml:space="preserve">. </w:t>
      </w:r>
    </w:p>
    <w:p w14:paraId="136C905B" w14:textId="77777777" w:rsidR="006A25D8" w:rsidRPr="006A25D8" w:rsidRDefault="006A25D8" w:rsidP="006A25D8">
      <w:pPr>
        <w:spacing w:after="0" w:line="256" w:lineRule="auto"/>
        <w:rPr>
          <w:rFonts w:ascii="Times New Roman" w:eastAsia="DengXian" w:hAnsi="Times New Roman" w:cs="Times New Roman"/>
          <w:b/>
          <w:bCs/>
          <w:kern w:val="2"/>
          <w:szCs w:val="22"/>
          <w:lang w:val="fr-FR" w:eastAsia="zh-CN"/>
          <w14:ligatures w14:val="standardContextual"/>
        </w:rPr>
      </w:pPr>
    </w:p>
    <w:p w14:paraId="46EAB239" w14:textId="77777777" w:rsidR="006A25D8" w:rsidRPr="006A25D8" w:rsidRDefault="006A25D8" w:rsidP="006A25D8">
      <w:pPr>
        <w:spacing w:after="0" w:line="256" w:lineRule="auto"/>
        <w:rPr>
          <w:rFonts w:ascii="Times New Roman" w:eastAsia="DengXian" w:hAnsi="Times New Roman" w:cs="Times New Roman"/>
          <w:b/>
          <w:bCs/>
          <w:kern w:val="2"/>
          <w:szCs w:val="22"/>
          <w:lang w:val="fr-FR" w:eastAsia="zh-CN"/>
          <w14:ligatures w14:val="standardContextual"/>
        </w:rPr>
      </w:pPr>
      <w:r w:rsidRPr="006A25D8">
        <w:rPr>
          <w:rFonts w:ascii="Times New Roman" w:eastAsia="DengXian" w:hAnsi="Times New Roman" w:cs="Times New Roman"/>
          <w:b/>
          <w:bCs/>
          <w:kern w:val="2"/>
          <w:szCs w:val="22"/>
          <w:lang w:val="fr-FR" w:eastAsia="zh-CN"/>
          <w14:ligatures w14:val="standardContextual"/>
        </w:rPr>
        <w:t>Consultation Globale sur un projet de Module d’Assurance Qualité lors de l’utilisation de Sources de Données Administratives et Autres pour produire des Statistiques Officielles</w:t>
      </w:r>
    </w:p>
    <w:p w14:paraId="34C41344" w14:textId="77777777" w:rsidR="006A25D8" w:rsidRPr="006A25D8" w:rsidRDefault="006A25D8" w:rsidP="006A25D8">
      <w:pPr>
        <w:spacing w:after="0" w:line="256" w:lineRule="auto"/>
        <w:rPr>
          <w:rFonts w:ascii="Times New Roman" w:eastAsia="DengXian" w:hAnsi="Times New Roman" w:cs="Times New Roman"/>
          <w:kern w:val="2"/>
          <w:szCs w:val="22"/>
          <w:lang w:val="fr-FR" w:eastAsia="zh-CN"/>
          <w14:ligatures w14:val="standardContextual"/>
        </w:rPr>
      </w:pPr>
    </w:p>
    <w:p w14:paraId="6123FA62" w14:textId="77777777" w:rsidR="006A25D8" w:rsidRPr="006A25D8" w:rsidRDefault="006A25D8" w:rsidP="006A25D8">
      <w:pPr>
        <w:spacing w:after="0" w:line="256" w:lineRule="auto"/>
        <w:rPr>
          <w:rFonts w:ascii="Times New Roman" w:eastAsia="DengXian" w:hAnsi="Times New Roman" w:cs="Times New Roman"/>
          <w:kern w:val="2"/>
          <w:szCs w:val="22"/>
          <w:u w:val="single"/>
          <w:lang w:val="fr-FR" w:eastAsia="zh-CN"/>
          <w14:ligatures w14:val="standardContextual"/>
        </w:rPr>
      </w:pPr>
      <w:r w:rsidRPr="006A25D8">
        <w:rPr>
          <w:rFonts w:ascii="Times New Roman" w:eastAsia="DengXian" w:hAnsi="Times New Roman" w:cs="Times New Roman"/>
          <w:kern w:val="2"/>
          <w:szCs w:val="22"/>
          <w:u w:val="single"/>
          <w:lang w:val="fr-FR" w:eastAsia="zh-CN"/>
          <w14:ligatures w14:val="standardContextual"/>
        </w:rPr>
        <w:t>Veuillez répondre aux questions suivantes avant le 4 juin 2024</w:t>
      </w:r>
    </w:p>
    <w:p w14:paraId="3C4963E8" w14:textId="77777777" w:rsidR="006A25D8" w:rsidRPr="006A25D8" w:rsidRDefault="006A25D8" w:rsidP="006A25D8">
      <w:pPr>
        <w:spacing w:line="256" w:lineRule="auto"/>
        <w:rPr>
          <w:rFonts w:ascii="Times New Roman" w:eastAsia="DengXian" w:hAnsi="Times New Roman" w:cs="Times New Roman"/>
          <w:kern w:val="2"/>
          <w:szCs w:val="22"/>
          <w:lang w:val="fr-FR" w:eastAsia="zh-CN"/>
          <w14:ligatures w14:val="standardContextual"/>
        </w:rPr>
      </w:pPr>
      <w:r w:rsidRPr="006A25D8">
        <w:rPr>
          <w:rFonts w:ascii="Times New Roman" w:eastAsia="DengXian" w:hAnsi="Times New Roman" w:cs="Times New Roman"/>
          <w:kern w:val="2"/>
          <w:szCs w:val="22"/>
          <w:lang w:val="fr-FR" w:eastAsia="zh-CN"/>
          <w14:ligatures w14:val="standardContextual"/>
        </w:rPr>
        <w:t>[*Obligatoire]</w:t>
      </w:r>
    </w:p>
    <w:p w14:paraId="668AA11B" w14:textId="77777777" w:rsidR="006A25D8" w:rsidRPr="006A25D8" w:rsidRDefault="006A25D8" w:rsidP="006A25D8">
      <w:pPr>
        <w:spacing w:after="0" w:line="256" w:lineRule="auto"/>
        <w:rPr>
          <w:rFonts w:ascii="Times New Roman" w:eastAsia="DengXian" w:hAnsi="Times New Roman" w:cs="Times New Roman"/>
          <w:kern w:val="2"/>
          <w:szCs w:val="22"/>
          <w:lang w:val="fr-FR" w:eastAsia="zh-CN"/>
          <w14:ligatures w14:val="standardContextual"/>
        </w:rPr>
      </w:pPr>
      <w:r w:rsidRPr="006A25D8">
        <w:rPr>
          <w:rFonts w:ascii="Times New Roman" w:eastAsia="DengXian" w:hAnsi="Times New Roman" w:cs="Times New Roman"/>
          <w:kern w:val="2"/>
          <w:szCs w:val="22"/>
          <w:lang w:val="fr-FR" w:eastAsia="zh-CN"/>
          <w14:ligatures w14:val="standardContextual"/>
        </w:rPr>
        <w:t>Nom :*</w:t>
      </w:r>
    </w:p>
    <w:p w14:paraId="6F53833D" w14:textId="77777777" w:rsidR="006A25D8" w:rsidRPr="006A25D8" w:rsidRDefault="006A25D8" w:rsidP="006A25D8">
      <w:pPr>
        <w:spacing w:after="0" w:line="256" w:lineRule="auto"/>
        <w:rPr>
          <w:rFonts w:ascii="Times New Roman" w:eastAsia="DengXian" w:hAnsi="Times New Roman" w:cs="Times New Roman"/>
          <w:kern w:val="2"/>
          <w:szCs w:val="22"/>
          <w:lang w:val="fr-FR" w:eastAsia="zh-CN"/>
          <w14:ligatures w14:val="standardContextual"/>
        </w:rPr>
      </w:pPr>
      <w:r w:rsidRPr="006A25D8">
        <w:rPr>
          <w:rFonts w:ascii="Times New Roman" w:eastAsia="DengXian" w:hAnsi="Times New Roman" w:cs="Times New Roman"/>
          <w:kern w:val="2"/>
          <w:szCs w:val="22"/>
          <w:lang w:val="fr-FR" w:eastAsia="zh-CN"/>
          <w14:ligatures w14:val="standardContextual"/>
        </w:rPr>
        <w:t>Organisation :*</w:t>
      </w:r>
    </w:p>
    <w:p w14:paraId="71DEB3B8" w14:textId="77777777" w:rsidR="006A25D8" w:rsidRPr="006A25D8" w:rsidRDefault="006A25D8" w:rsidP="006A25D8">
      <w:pPr>
        <w:spacing w:after="0" w:line="256" w:lineRule="auto"/>
        <w:rPr>
          <w:rFonts w:ascii="Times New Roman" w:eastAsia="DengXian" w:hAnsi="Times New Roman" w:cs="Times New Roman"/>
          <w:kern w:val="2"/>
          <w:szCs w:val="22"/>
          <w:lang w:val="fr-FR" w:eastAsia="zh-CN"/>
          <w14:ligatures w14:val="standardContextual"/>
        </w:rPr>
      </w:pPr>
      <w:r w:rsidRPr="006A25D8">
        <w:rPr>
          <w:rFonts w:ascii="Times New Roman" w:eastAsia="DengXian" w:hAnsi="Times New Roman" w:cs="Times New Roman"/>
          <w:kern w:val="2"/>
          <w:szCs w:val="22"/>
          <w:lang w:val="fr-FR" w:eastAsia="zh-CN"/>
          <w14:ligatures w14:val="standardContextual"/>
        </w:rPr>
        <w:t>Pays :*</w:t>
      </w:r>
    </w:p>
    <w:p w14:paraId="07A17DBA" w14:textId="77777777" w:rsidR="006A25D8" w:rsidRPr="006A25D8" w:rsidRDefault="006A25D8" w:rsidP="006A25D8">
      <w:pPr>
        <w:spacing w:after="0" w:line="256" w:lineRule="auto"/>
        <w:rPr>
          <w:rFonts w:ascii="Times New Roman" w:eastAsia="DengXian" w:hAnsi="Times New Roman" w:cs="Times New Roman"/>
          <w:kern w:val="2"/>
          <w:szCs w:val="22"/>
          <w:lang w:val="fr-FR" w:eastAsia="zh-CN"/>
          <w14:ligatures w14:val="standardContextual"/>
        </w:rPr>
      </w:pPr>
      <w:r w:rsidRPr="006A25D8">
        <w:rPr>
          <w:rFonts w:ascii="Times New Roman" w:eastAsia="DengXian" w:hAnsi="Times New Roman" w:cs="Times New Roman"/>
          <w:kern w:val="2"/>
          <w:szCs w:val="22"/>
          <w:lang w:val="fr-FR" w:eastAsia="zh-CN"/>
          <w14:ligatures w14:val="standardContextual"/>
        </w:rPr>
        <w:t>Courrier électronique  :*</w:t>
      </w:r>
    </w:p>
    <w:p w14:paraId="596100FD" w14:textId="77777777" w:rsidR="006A25D8" w:rsidRPr="006A25D8" w:rsidRDefault="006A25D8" w:rsidP="006A25D8">
      <w:pPr>
        <w:spacing w:after="0" w:line="256" w:lineRule="auto"/>
        <w:rPr>
          <w:rFonts w:ascii="Times New Roman" w:eastAsia="DengXian" w:hAnsi="Times New Roman" w:cs="Times New Roman"/>
          <w:kern w:val="2"/>
          <w:szCs w:val="22"/>
          <w:lang w:val="fr-FR" w:eastAsia="zh-CN"/>
          <w14:ligatures w14:val="standardContextual"/>
        </w:rPr>
      </w:pPr>
    </w:p>
    <w:p w14:paraId="796FE17E" w14:textId="77777777" w:rsidR="006A25D8" w:rsidRPr="006A25D8" w:rsidRDefault="006A25D8" w:rsidP="006A25D8">
      <w:pPr>
        <w:spacing w:after="0" w:line="256" w:lineRule="auto"/>
        <w:rPr>
          <w:rFonts w:ascii="Times New Roman" w:eastAsia="DengXian" w:hAnsi="Times New Roman" w:cs="Times New Roman"/>
          <w:b/>
          <w:bCs/>
          <w:i/>
          <w:iCs/>
          <w:kern w:val="2"/>
          <w:szCs w:val="22"/>
          <w:lang w:val="fr-FR" w:eastAsia="zh-CN"/>
          <w14:ligatures w14:val="standardContextual"/>
        </w:rPr>
      </w:pPr>
      <w:r w:rsidRPr="006A25D8">
        <w:rPr>
          <w:rFonts w:ascii="Times New Roman" w:eastAsia="DengXian" w:hAnsi="Times New Roman" w:cs="Times New Roman"/>
          <w:b/>
          <w:bCs/>
          <w:i/>
          <w:iCs/>
          <w:kern w:val="2"/>
          <w:szCs w:val="22"/>
          <w:lang w:val="fr-FR" w:eastAsia="zh-CN"/>
          <w14:ligatures w14:val="standardContextual"/>
        </w:rPr>
        <w:t>Veuillez fournir votre réponse ici : ..</w:t>
      </w:r>
    </w:p>
    <w:p w14:paraId="542A9B14" w14:textId="77777777" w:rsidR="006A25D8" w:rsidRPr="006A25D8" w:rsidRDefault="006A25D8" w:rsidP="006A25D8">
      <w:pPr>
        <w:numPr>
          <w:ilvl w:val="0"/>
          <w:numId w:val="51"/>
        </w:numPr>
        <w:spacing w:after="0" w:line="256" w:lineRule="auto"/>
        <w:ind w:left="360"/>
        <w:contextualSpacing/>
        <w:rPr>
          <w:rFonts w:ascii="Times New Roman" w:eastAsia="DengXian" w:hAnsi="Times New Roman" w:cs="Times New Roman"/>
          <w:kern w:val="2"/>
          <w:szCs w:val="22"/>
          <w:lang w:val="fr-FR" w:eastAsia="zh-CN"/>
          <w14:ligatures w14:val="standardContextual"/>
        </w:rPr>
      </w:pPr>
      <w:r w:rsidRPr="006A25D8">
        <w:rPr>
          <w:rFonts w:ascii="Times New Roman" w:eastAsia="DengXian" w:hAnsi="Times New Roman" w:cs="Times New Roman"/>
          <w:kern w:val="2"/>
          <w:szCs w:val="22"/>
          <w:lang w:val="fr-FR" w:eastAsia="zh-CN"/>
          <w14:ligatures w14:val="standardContextual"/>
        </w:rPr>
        <w:t xml:space="preserve">Veuillez fournir </w:t>
      </w:r>
      <w:bookmarkStart w:id="1" w:name="_Hlk164690004"/>
      <w:r w:rsidRPr="006A25D8">
        <w:rPr>
          <w:rFonts w:ascii="Times New Roman" w:eastAsia="DengXian" w:hAnsi="Times New Roman" w:cs="Times New Roman"/>
          <w:kern w:val="2"/>
          <w:szCs w:val="22"/>
          <w:lang w:val="fr-FR" w:eastAsia="zh-CN"/>
          <w14:ligatures w14:val="standardContextual"/>
        </w:rPr>
        <w:t xml:space="preserve">vos commentaires ou suggestions </w:t>
      </w:r>
      <w:bookmarkEnd w:id="1"/>
      <w:r w:rsidRPr="006A25D8">
        <w:rPr>
          <w:rFonts w:ascii="Times New Roman" w:eastAsia="DengXian" w:hAnsi="Times New Roman" w:cs="Times New Roman"/>
          <w:kern w:val="2"/>
          <w:szCs w:val="22"/>
          <w:lang w:val="fr-FR" w:eastAsia="zh-CN"/>
          <w14:ligatures w14:val="standardContextual"/>
        </w:rPr>
        <w:t>sur l'Introduction du module (paras. 1-8)</w:t>
      </w:r>
    </w:p>
    <w:p w14:paraId="018C354C" w14:textId="77777777" w:rsidR="006A25D8" w:rsidRPr="006A25D8" w:rsidRDefault="006A25D8" w:rsidP="006A25D8">
      <w:pPr>
        <w:spacing w:after="0" w:line="256" w:lineRule="auto"/>
        <w:rPr>
          <w:rFonts w:ascii="Times New Roman" w:eastAsia="DengXian" w:hAnsi="Times New Roman" w:cs="Times New Roman"/>
          <w:kern w:val="2"/>
          <w:szCs w:val="22"/>
          <w:lang w:val="fr-FR" w:eastAsia="zh-CN"/>
          <w14:ligatures w14:val="standardContextual"/>
        </w:rPr>
      </w:pPr>
    </w:p>
    <w:p w14:paraId="7AE54EB7" w14:textId="77777777" w:rsidR="006A25D8" w:rsidRPr="006A25D8" w:rsidRDefault="006A25D8" w:rsidP="006A25D8">
      <w:pPr>
        <w:numPr>
          <w:ilvl w:val="0"/>
          <w:numId w:val="51"/>
        </w:numPr>
        <w:spacing w:after="0" w:line="256" w:lineRule="auto"/>
        <w:ind w:left="360"/>
        <w:contextualSpacing/>
        <w:rPr>
          <w:rFonts w:ascii="Times New Roman" w:eastAsia="DengXian" w:hAnsi="Times New Roman" w:cs="Times New Roman"/>
          <w:kern w:val="2"/>
          <w:szCs w:val="22"/>
          <w:lang w:val="fr-FR" w:eastAsia="zh-CN"/>
          <w14:ligatures w14:val="standardContextual"/>
        </w:rPr>
      </w:pPr>
      <w:r w:rsidRPr="006A25D8">
        <w:rPr>
          <w:rFonts w:ascii="Times New Roman" w:eastAsia="DengXian" w:hAnsi="Times New Roman" w:cs="Times New Roman"/>
          <w:kern w:val="2"/>
          <w:szCs w:val="22"/>
          <w:lang w:val="fr-FR" w:eastAsia="zh-CN"/>
          <w14:ligatures w14:val="standardContextual"/>
        </w:rPr>
        <w:t>Veuillez fournir vos commentaires ou suggestions sur la Partie 1 (paras. 9-15)</w:t>
      </w:r>
    </w:p>
    <w:p w14:paraId="4A09C5D5" w14:textId="77777777" w:rsidR="006A25D8" w:rsidRPr="006A25D8" w:rsidRDefault="006A25D8" w:rsidP="006A25D8">
      <w:pPr>
        <w:spacing w:after="0" w:line="256" w:lineRule="auto"/>
        <w:ind w:left="360"/>
        <w:contextualSpacing/>
        <w:rPr>
          <w:rFonts w:ascii="Times New Roman" w:eastAsia="DengXian" w:hAnsi="Times New Roman" w:cs="Times New Roman"/>
          <w:kern w:val="2"/>
          <w:szCs w:val="22"/>
          <w:lang w:val="fr-FR" w:eastAsia="zh-CN"/>
          <w14:ligatures w14:val="standardContextual"/>
        </w:rPr>
      </w:pPr>
    </w:p>
    <w:p w14:paraId="73F74B6D" w14:textId="77777777" w:rsidR="006A25D8" w:rsidRPr="006A25D8" w:rsidRDefault="006A25D8" w:rsidP="006A25D8">
      <w:pPr>
        <w:numPr>
          <w:ilvl w:val="0"/>
          <w:numId w:val="51"/>
        </w:numPr>
        <w:spacing w:after="0" w:line="256" w:lineRule="auto"/>
        <w:ind w:left="360"/>
        <w:contextualSpacing/>
        <w:rPr>
          <w:rFonts w:ascii="Times New Roman" w:eastAsia="DengXian" w:hAnsi="Times New Roman" w:cs="Times New Roman"/>
          <w:kern w:val="2"/>
          <w:szCs w:val="22"/>
          <w:lang w:val="fr-FR" w:eastAsia="zh-CN"/>
          <w14:ligatures w14:val="standardContextual"/>
        </w:rPr>
      </w:pPr>
      <w:r w:rsidRPr="006A25D8">
        <w:rPr>
          <w:rFonts w:ascii="Times New Roman" w:eastAsia="DengXian" w:hAnsi="Times New Roman" w:cs="Times New Roman"/>
          <w:kern w:val="2"/>
          <w:szCs w:val="22"/>
          <w:lang w:val="fr-FR" w:eastAsia="zh-CN"/>
          <w14:ligatures w14:val="standardContextual"/>
        </w:rPr>
        <w:t>Veuillez fournir vos commentaires ou suggestions sur la Partie 2 (paras. 16-18)</w:t>
      </w:r>
    </w:p>
    <w:p w14:paraId="711586A3" w14:textId="77777777" w:rsidR="006A25D8" w:rsidRPr="006A25D8" w:rsidRDefault="006A25D8" w:rsidP="006A25D8">
      <w:pPr>
        <w:spacing w:after="0" w:line="256" w:lineRule="auto"/>
        <w:ind w:left="360"/>
        <w:contextualSpacing/>
        <w:rPr>
          <w:rFonts w:ascii="Times New Roman" w:eastAsia="DengXian" w:hAnsi="Times New Roman" w:cs="Times New Roman"/>
          <w:kern w:val="2"/>
          <w:szCs w:val="22"/>
          <w:lang w:val="fr-FR" w:eastAsia="zh-CN"/>
          <w14:ligatures w14:val="standardContextual"/>
        </w:rPr>
      </w:pPr>
    </w:p>
    <w:p w14:paraId="61DB06BC" w14:textId="77777777" w:rsidR="006A25D8" w:rsidRPr="006A25D8" w:rsidRDefault="006A25D8" w:rsidP="006A25D8">
      <w:pPr>
        <w:numPr>
          <w:ilvl w:val="0"/>
          <w:numId w:val="51"/>
        </w:numPr>
        <w:spacing w:after="0" w:line="256" w:lineRule="auto"/>
        <w:ind w:left="360"/>
        <w:contextualSpacing/>
        <w:rPr>
          <w:rFonts w:ascii="Times New Roman" w:eastAsia="DengXian" w:hAnsi="Times New Roman" w:cs="Times New Roman"/>
          <w:kern w:val="2"/>
          <w:szCs w:val="22"/>
          <w:lang w:val="fr-FR" w:eastAsia="zh-CN"/>
          <w14:ligatures w14:val="standardContextual"/>
        </w:rPr>
      </w:pPr>
      <w:r w:rsidRPr="006A25D8">
        <w:rPr>
          <w:rFonts w:ascii="Times New Roman" w:eastAsia="DengXian" w:hAnsi="Times New Roman" w:cs="Times New Roman"/>
          <w:kern w:val="2"/>
          <w:szCs w:val="22"/>
          <w:lang w:val="fr-FR" w:eastAsia="zh-CN"/>
          <w14:ligatures w14:val="standardContextual"/>
        </w:rPr>
        <w:t>Veuillez fournir vos commentaires ou suggestions sur la Partie 2 – Exigences Critiques 1 et 2</w:t>
      </w:r>
    </w:p>
    <w:p w14:paraId="2A9E4D50" w14:textId="77777777" w:rsidR="006A25D8" w:rsidRPr="006A25D8" w:rsidRDefault="006A25D8" w:rsidP="006A25D8">
      <w:pPr>
        <w:spacing w:after="0" w:line="256" w:lineRule="auto"/>
        <w:rPr>
          <w:rFonts w:ascii="Times New Roman" w:eastAsia="DengXian" w:hAnsi="Times New Roman" w:cs="Times New Roman"/>
          <w:kern w:val="2"/>
          <w:szCs w:val="22"/>
          <w:lang w:val="fr-FR" w:eastAsia="zh-CN"/>
          <w14:ligatures w14:val="standardContextual"/>
        </w:rPr>
      </w:pPr>
    </w:p>
    <w:p w14:paraId="1608C8F0" w14:textId="77777777" w:rsidR="006A25D8" w:rsidRPr="006A25D8" w:rsidRDefault="006A25D8" w:rsidP="006A25D8">
      <w:pPr>
        <w:numPr>
          <w:ilvl w:val="0"/>
          <w:numId w:val="51"/>
        </w:numPr>
        <w:spacing w:after="0" w:line="256" w:lineRule="auto"/>
        <w:ind w:left="360"/>
        <w:contextualSpacing/>
        <w:rPr>
          <w:rFonts w:ascii="Times New Roman" w:eastAsia="DengXian" w:hAnsi="Times New Roman" w:cs="Times New Roman"/>
          <w:kern w:val="2"/>
          <w:szCs w:val="22"/>
          <w:lang w:val="fr-FR" w:eastAsia="zh-CN"/>
          <w14:ligatures w14:val="standardContextual"/>
        </w:rPr>
      </w:pPr>
      <w:r w:rsidRPr="006A25D8">
        <w:rPr>
          <w:rFonts w:ascii="Times New Roman" w:eastAsia="DengXian" w:hAnsi="Times New Roman" w:cs="Times New Roman"/>
          <w:kern w:val="2"/>
          <w:szCs w:val="22"/>
          <w:lang w:val="fr-FR" w:eastAsia="zh-CN"/>
          <w14:ligatures w14:val="standardContextual"/>
        </w:rPr>
        <w:t>Veuillez fournir vos commentaires ou suggestions sur la Partie 2 – Exigences Critiques 3 et 4</w:t>
      </w:r>
    </w:p>
    <w:p w14:paraId="6A114E9D" w14:textId="77777777" w:rsidR="006A25D8" w:rsidRPr="006A25D8" w:rsidRDefault="006A25D8" w:rsidP="006A25D8">
      <w:pPr>
        <w:spacing w:after="0" w:line="256" w:lineRule="auto"/>
        <w:rPr>
          <w:rFonts w:ascii="Times New Roman" w:eastAsia="DengXian" w:hAnsi="Times New Roman" w:cs="Times New Roman"/>
          <w:kern w:val="2"/>
          <w:szCs w:val="22"/>
          <w:lang w:val="fr-FR" w:eastAsia="zh-CN"/>
          <w14:ligatures w14:val="standardContextual"/>
        </w:rPr>
      </w:pPr>
    </w:p>
    <w:p w14:paraId="3501DC6A" w14:textId="77777777" w:rsidR="006A25D8" w:rsidRPr="006A25D8" w:rsidRDefault="006A25D8" w:rsidP="006A25D8">
      <w:pPr>
        <w:numPr>
          <w:ilvl w:val="0"/>
          <w:numId w:val="51"/>
        </w:numPr>
        <w:spacing w:after="0" w:line="256" w:lineRule="auto"/>
        <w:ind w:left="360"/>
        <w:contextualSpacing/>
        <w:rPr>
          <w:rFonts w:ascii="Times New Roman" w:eastAsia="DengXian" w:hAnsi="Times New Roman" w:cs="Times New Roman"/>
          <w:kern w:val="2"/>
          <w:szCs w:val="22"/>
          <w:lang w:val="fr-FR" w:eastAsia="zh-CN"/>
          <w14:ligatures w14:val="standardContextual"/>
        </w:rPr>
      </w:pPr>
      <w:r w:rsidRPr="006A25D8">
        <w:rPr>
          <w:rFonts w:ascii="Times New Roman" w:eastAsia="DengXian" w:hAnsi="Times New Roman" w:cs="Times New Roman"/>
          <w:kern w:val="2"/>
          <w:szCs w:val="22"/>
          <w:lang w:val="fr-FR" w:eastAsia="zh-CN"/>
          <w14:ligatures w14:val="standardContextual"/>
        </w:rPr>
        <w:t>Veuillez fournir vos commentaires ou suggestions sur la Partie 2 – Exigences Critiques 5 et 6</w:t>
      </w:r>
    </w:p>
    <w:p w14:paraId="2371A042" w14:textId="77777777" w:rsidR="006A25D8" w:rsidRPr="006A25D8" w:rsidRDefault="006A25D8" w:rsidP="006A25D8">
      <w:pPr>
        <w:spacing w:after="0" w:line="256" w:lineRule="auto"/>
        <w:rPr>
          <w:rFonts w:ascii="Times New Roman" w:eastAsia="DengXian" w:hAnsi="Times New Roman" w:cs="Times New Roman"/>
          <w:kern w:val="2"/>
          <w:szCs w:val="22"/>
          <w:lang w:val="fr-FR" w:eastAsia="zh-CN"/>
          <w14:ligatures w14:val="standardContextual"/>
        </w:rPr>
      </w:pPr>
    </w:p>
    <w:p w14:paraId="591DBDF8" w14:textId="77777777" w:rsidR="006A25D8" w:rsidRPr="006A25D8" w:rsidRDefault="006A25D8" w:rsidP="006A25D8">
      <w:pPr>
        <w:numPr>
          <w:ilvl w:val="0"/>
          <w:numId w:val="51"/>
        </w:numPr>
        <w:spacing w:after="0" w:line="256" w:lineRule="auto"/>
        <w:ind w:left="360"/>
        <w:contextualSpacing/>
        <w:rPr>
          <w:rFonts w:ascii="Times New Roman" w:eastAsia="DengXian" w:hAnsi="Times New Roman" w:cs="Times New Roman"/>
          <w:kern w:val="2"/>
          <w:szCs w:val="22"/>
          <w:lang w:val="fr-FR" w:eastAsia="zh-CN"/>
          <w14:ligatures w14:val="standardContextual"/>
        </w:rPr>
      </w:pPr>
      <w:r w:rsidRPr="006A25D8">
        <w:rPr>
          <w:rFonts w:ascii="Times New Roman" w:eastAsia="DengXian" w:hAnsi="Times New Roman" w:cs="Times New Roman"/>
          <w:kern w:val="2"/>
          <w:szCs w:val="22"/>
          <w:lang w:val="fr-FR" w:eastAsia="zh-CN"/>
          <w14:ligatures w14:val="standardContextual"/>
        </w:rPr>
        <w:t>Veuillez fournir vos commentaires ou suggestions sur la Partie 2 – Exigences Critiques 7 et 8</w:t>
      </w:r>
    </w:p>
    <w:p w14:paraId="650DC38F" w14:textId="77777777" w:rsidR="006A25D8" w:rsidRPr="006A25D8" w:rsidRDefault="006A25D8" w:rsidP="006A25D8">
      <w:pPr>
        <w:spacing w:after="0" w:line="256" w:lineRule="auto"/>
        <w:rPr>
          <w:rFonts w:ascii="Times New Roman" w:eastAsia="DengXian" w:hAnsi="Times New Roman" w:cs="Times New Roman"/>
          <w:kern w:val="2"/>
          <w:szCs w:val="22"/>
          <w:lang w:val="fr-FR" w:eastAsia="zh-CN"/>
          <w14:ligatures w14:val="standardContextual"/>
        </w:rPr>
      </w:pPr>
    </w:p>
    <w:p w14:paraId="5C143770" w14:textId="77777777" w:rsidR="006A25D8" w:rsidRPr="006A25D8" w:rsidRDefault="006A25D8" w:rsidP="006A25D8">
      <w:pPr>
        <w:numPr>
          <w:ilvl w:val="0"/>
          <w:numId w:val="51"/>
        </w:numPr>
        <w:spacing w:after="0" w:line="256" w:lineRule="auto"/>
        <w:ind w:left="360"/>
        <w:contextualSpacing/>
        <w:rPr>
          <w:rFonts w:ascii="Times New Roman" w:eastAsia="DengXian" w:hAnsi="Times New Roman" w:cs="Times New Roman"/>
          <w:kern w:val="2"/>
          <w:szCs w:val="22"/>
          <w:lang w:val="fr-FR" w:eastAsia="zh-CN"/>
          <w14:ligatures w14:val="standardContextual"/>
        </w:rPr>
      </w:pPr>
      <w:r w:rsidRPr="006A25D8">
        <w:rPr>
          <w:rFonts w:ascii="Times New Roman" w:eastAsia="DengXian" w:hAnsi="Times New Roman" w:cs="Times New Roman"/>
          <w:kern w:val="2"/>
          <w:szCs w:val="22"/>
          <w:lang w:val="fr-FR" w:eastAsia="zh-CN"/>
          <w14:ligatures w14:val="standardContextual"/>
        </w:rPr>
        <w:t>Veuillez fournir vos commentaires ou suggestions sur la Partie 2 – Exigences Critiques 9 et 10</w:t>
      </w:r>
    </w:p>
    <w:p w14:paraId="0E9FB283" w14:textId="77777777" w:rsidR="006A25D8" w:rsidRPr="006A25D8" w:rsidRDefault="006A25D8" w:rsidP="006A25D8">
      <w:pPr>
        <w:spacing w:after="0" w:line="256" w:lineRule="auto"/>
        <w:rPr>
          <w:rFonts w:ascii="Times New Roman" w:eastAsia="DengXian" w:hAnsi="Times New Roman" w:cs="Times New Roman"/>
          <w:kern w:val="2"/>
          <w:szCs w:val="22"/>
          <w:lang w:val="fr-FR" w:eastAsia="zh-CN"/>
          <w14:ligatures w14:val="standardContextual"/>
        </w:rPr>
      </w:pPr>
    </w:p>
    <w:p w14:paraId="1F8FF182" w14:textId="77777777" w:rsidR="006A25D8" w:rsidRPr="006A25D8" w:rsidRDefault="006A25D8" w:rsidP="006A25D8">
      <w:pPr>
        <w:numPr>
          <w:ilvl w:val="0"/>
          <w:numId w:val="51"/>
        </w:numPr>
        <w:spacing w:after="0" w:line="256" w:lineRule="auto"/>
        <w:ind w:left="360"/>
        <w:contextualSpacing/>
        <w:rPr>
          <w:rFonts w:ascii="Times New Roman" w:eastAsia="DengXian" w:hAnsi="Times New Roman" w:cs="Times New Roman"/>
          <w:kern w:val="2"/>
          <w:szCs w:val="22"/>
          <w:lang w:val="fr-FR" w:eastAsia="zh-CN"/>
          <w14:ligatures w14:val="standardContextual"/>
        </w:rPr>
      </w:pPr>
      <w:r w:rsidRPr="006A25D8">
        <w:rPr>
          <w:rFonts w:ascii="Times New Roman" w:eastAsia="DengXian" w:hAnsi="Times New Roman" w:cs="Times New Roman"/>
          <w:kern w:val="2"/>
          <w:szCs w:val="22"/>
          <w:lang w:val="fr-FR" w:eastAsia="zh-CN"/>
          <w14:ligatures w14:val="standardContextual"/>
        </w:rPr>
        <w:t>Veuillez fournir vos commentaires ou suggestions sur l'Annexe 1 – Sous-module et liste supplémentaire</w:t>
      </w:r>
    </w:p>
    <w:p w14:paraId="7030B841" w14:textId="77777777" w:rsidR="006A25D8" w:rsidRPr="006A25D8" w:rsidRDefault="006A25D8" w:rsidP="006A25D8">
      <w:pPr>
        <w:spacing w:after="0" w:line="256" w:lineRule="auto"/>
        <w:rPr>
          <w:rFonts w:ascii="Times New Roman" w:eastAsia="DengXian" w:hAnsi="Times New Roman" w:cs="Times New Roman"/>
          <w:kern w:val="2"/>
          <w:szCs w:val="22"/>
          <w:lang w:val="fr-FR" w:eastAsia="zh-CN"/>
          <w14:ligatures w14:val="standardContextual"/>
        </w:rPr>
      </w:pPr>
    </w:p>
    <w:p w14:paraId="18198004" w14:textId="77777777" w:rsidR="006A25D8" w:rsidRPr="006A25D8" w:rsidRDefault="006A25D8" w:rsidP="006A25D8">
      <w:pPr>
        <w:numPr>
          <w:ilvl w:val="0"/>
          <w:numId w:val="51"/>
        </w:numPr>
        <w:spacing w:after="0" w:line="256" w:lineRule="auto"/>
        <w:ind w:left="360"/>
        <w:contextualSpacing/>
        <w:rPr>
          <w:rFonts w:ascii="Times New Roman" w:eastAsia="DengXian" w:hAnsi="Times New Roman" w:cs="Times New Roman"/>
          <w:kern w:val="2"/>
          <w:szCs w:val="22"/>
          <w:lang w:val="fr-FR" w:eastAsia="zh-CN"/>
          <w14:ligatures w14:val="standardContextual"/>
        </w:rPr>
      </w:pPr>
      <w:r w:rsidRPr="006A25D8">
        <w:rPr>
          <w:rFonts w:ascii="Times New Roman" w:eastAsia="DengXian" w:hAnsi="Times New Roman" w:cs="Times New Roman"/>
          <w:kern w:val="2"/>
          <w:szCs w:val="22"/>
          <w:lang w:val="fr-FR" w:eastAsia="zh-CN"/>
          <w14:ligatures w14:val="standardContextual"/>
        </w:rPr>
        <w:t>Veuillez fournir vos commentaires ou suggestions sur l'Annexe 2 – Glossaire</w:t>
      </w:r>
    </w:p>
    <w:p w14:paraId="2550CA3C" w14:textId="77777777" w:rsidR="006A25D8" w:rsidRPr="006A25D8" w:rsidRDefault="006A25D8" w:rsidP="006A25D8">
      <w:pPr>
        <w:spacing w:after="0" w:line="256" w:lineRule="auto"/>
        <w:rPr>
          <w:rFonts w:ascii="Times New Roman" w:eastAsia="DengXian" w:hAnsi="Times New Roman" w:cs="Times New Roman"/>
          <w:kern w:val="2"/>
          <w:szCs w:val="22"/>
          <w:lang w:val="fr-FR" w:eastAsia="zh-CN"/>
          <w14:ligatures w14:val="standardContextual"/>
        </w:rPr>
      </w:pPr>
    </w:p>
    <w:p w14:paraId="276B1CCA" w14:textId="77777777" w:rsidR="006A25D8" w:rsidRPr="006A25D8" w:rsidRDefault="006A25D8" w:rsidP="006A25D8">
      <w:pPr>
        <w:numPr>
          <w:ilvl w:val="0"/>
          <w:numId w:val="51"/>
        </w:numPr>
        <w:spacing w:after="0" w:line="256" w:lineRule="auto"/>
        <w:ind w:left="360"/>
        <w:contextualSpacing/>
        <w:rPr>
          <w:rFonts w:ascii="Times New Roman" w:eastAsia="DengXian" w:hAnsi="Times New Roman" w:cs="Times New Roman"/>
          <w:kern w:val="2"/>
          <w:szCs w:val="22"/>
          <w:lang w:val="fr-FR" w:eastAsia="zh-CN"/>
          <w14:ligatures w14:val="standardContextual"/>
        </w:rPr>
      </w:pPr>
      <w:r w:rsidRPr="006A25D8">
        <w:rPr>
          <w:rFonts w:ascii="Times New Roman" w:eastAsia="DengXian" w:hAnsi="Times New Roman" w:cs="Times New Roman"/>
          <w:kern w:val="2"/>
          <w:szCs w:val="22"/>
          <w:lang w:val="fr-FR" w:eastAsia="zh-CN"/>
          <w14:ligatures w14:val="standardContextual"/>
        </w:rPr>
        <w:t>Veuillez fournir vos commentaires ou suggestions sur l'Annexe 3 – Exigence pertinentes du CNAQ des Nations unies</w:t>
      </w:r>
    </w:p>
    <w:p w14:paraId="533C45AD" w14:textId="77777777" w:rsidR="006A25D8" w:rsidRPr="006A25D8" w:rsidRDefault="006A25D8" w:rsidP="006A25D8">
      <w:pPr>
        <w:spacing w:after="0" w:line="256" w:lineRule="auto"/>
        <w:rPr>
          <w:rFonts w:ascii="Times New Roman" w:eastAsia="DengXian" w:hAnsi="Times New Roman" w:cs="Times New Roman"/>
          <w:kern w:val="2"/>
          <w:szCs w:val="22"/>
          <w:lang w:val="fr-FR" w:eastAsia="zh-CN"/>
          <w14:ligatures w14:val="standardContextual"/>
        </w:rPr>
      </w:pPr>
    </w:p>
    <w:p w14:paraId="4A49E4F3" w14:textId="77777777" w:rsidR="006A25D8" w:rsidRPr="006A25D8" w:rsidRDefault="006A25D8" w:rsidP="006A25D8">
      <w:pPr>
        <w:numPr>
          <w:ilvl w:val="0"/>
          <w:numId w:val="51"/>
        </w:numPr>
        <w:spacing w:after="0" w:line="256" w:lineRule="auto"/>
        <w:ind w:left="360"/>
        <w:contextualSpacing/>
        <w:rPr>
          <w:rFonts w:ascii="Times New Roman" w:eastAsia="DengXian" w:hAnsi="Times New Roman" w:cs="Times New Roman"/>
          <w:kern w:val="2"/>
          <w:szCs w:val="22"/>
          <w:lang w:val="fr-FR" w:eastAsia="zh-CN"/>
          <w14:ligatures w14:val="standardContextual"/>
        </w:rPr>
      </w:pPr>
      <w:r w:rsidRPr="006A25D8">
        <w:rPr>
          <w:rFonts w:ascii="Times New Roman" w:eastAsia="DengXian" w:hAnsi="Times New Roman" w:cs="Times New Roman"/>
          <w:kern w:val="2"/>
          <w:szCs w:val="22"/>
          <w:lang w:val="fr-FR" w:eastAsia="zh-CN"/>
          <w14:ligatures w14:val="standardContextual"/>
        </w:rPr>
        <w:t>Veuillez fournir vos commentaires ou suggestions sur l'Annexe 4 – Tableau de correspondance</w:t>
      </w:r>
    </w:p>
    <w:p w14:paraId="0FE115B9" w14:textId="77777777" w:rsidR="006A25D8" w:rsidRPr="006A25D8" w:rsidRDefault="006A25D8" w:rsidP="006A25D8">
      <w:pPr>
        <w:spacing w:after="0" w:line="256" w:lineRule="auto"/>
        <w:rPr>
          <w:rFonts w:ascii="Times New Roman" w:eastAsia="DengXian" w:hAnsi="Times New Roman" w:cs="Times New Roman"/>
          <w:kern w:val="2"/>
          <w:szCs w:val="22"/>
          <w:lang w:val="fr-FR" w:eastAsia="zh-CN"/>
          <w14:ligatures w14:val="standardContextual"/>
        </w:rPr>
      </w:pPr>
    </w:p>
    <w:p w14:paraId="490B0CB5" w14:textId="77777777" w:rsidR="006A25D8" w:rsidRPr="006A25D8" w:rsidRDefault="006A25D8" w:rsidP="006A25D8">
      <w:pPr>
        <w:numPr>
          <w:ilvl w:val="0"/>
          <w:numId w:val="51"/>
        </w:numPr>
        <w:spacing w:after="0" w:line="256" w:lineRule="auto"/>
        <w:ind w:left="360"/>
        <w:contextualSpacing/>
        <w:rPr>
          <w:rFonts w:ascii="Times New Roman" w:eastAsia="DengXian" w:hAnsi="Times New Roman" w:cs="Times New Roman"/>
          <w:kern w:val="2"/>
          <w:szCs w:val="22"/>
          <w:lang w:val="fr-FR" w:eastAsia="zh-CN"/>
          <w14:ligatures w14:val="standardContextual"/>
        </w:rPr>
      </w:pPr>
      <w:r w:rsidRPr="006A25D8">
        <w:rPr>
          <w:rFonts w:ascii="Times New Roman" w:eastAsia="DengXian" w:hAnsi="Times New Roman" w:cs="Times New Roman"/>
          <w:kern w:val="2"/>
          <w:szCs w:val="22"/>
          <w:lang w:val="fr-FR" w:eastAsia="zh-CN"/>
          <w14:ligatures w14:val="standardContextual"/>
        </w:rPr>
        <w:t>Veuillez indiquer si vous êtes intéressé à tester le projet de Module : OUI/NON</w:t>
      </w:r>
    </w:p>
    <w:p w14:paraId="47F365ED" w14:textId="77777777" w:rsidR="006A25D8" w:rsidRPr="006A25D8" w:rsidRDefault="006A25D8" w:rsidP="006A25D8">
      <w:pPr>
        <w:spacing w:after="0" w:line="256" w:lineRule="auto"/>
        <w:rPr>
          <w:rFonts w:ascii="Times New Roman" w:eastAsia="DengXian" w:hAnsi="Times New Roman" w:cs="Times New Roman"/>
          <w:kern w:val="2"/>
          <w:szCs w:val="22"/>
          <w:lang w:val="fr-FR" w:eastAsia="zh-CN"/>
          <w14:ligatures w14:val="standardContextual"/>
        </w:rPr>
      </w:pPr>
    </w:p>
    <w:p w14:paraId="5F9A1DB2" w14:textId="77777777" w:rsidR="006A25D8" w:rsidRPr="006A25D8" w:rsidRDefault="006A25D8" w:rsidP="006A25D8">
      <w:pPr>
        <w:numPr>
          <w:ilvl w:val="0"/>
          <w:numId w:val="51"/>
        </w:numPr>
        <w:spacing w:after="0" w:line="256" w:lineRule="auto"/>
        <w:ind w:left="360"/>
        <w:contextualSpacing/>
        <w:rPr>
          <w:rFonts w:ascii="Times New Roman" w:eastAsia="DengXian" w:hAnsi="Times New Roman" w:cs="Times New Roman"/>
          <w:kern w:val="2"/>
          <w:szCs w:val="22"/>
          <w:lang w:val="fr-FR" w:eastAsia="zh-CN"/>
          <w14:ligatures w14:val="standardContextual"/>
        </w:rPr>
      </w:pPr>
      <w:r w:rsidRPr="006A25D8">
        <w:rPr>
          <w:rFonts w:ascii="Times New Roman" w:eastAsia="DengXian" w:hAnsi="Times New Roman" w:cs="Times New Roman"/>
          <w:kern w:val="2"/>
          <w:szCs w:val="22"/>
          <w:lang w:val="fr-FR" w:eastAsia="zh-CN"/>
          <w14:ligatures w14:val="standardContextual"/>
        </w:rPr>
        <w:t>Veuillez nous faire part de vos suggestions pour améliorer ce projet de Module*</w:t>
      </w:r>
    </w:p>
    <w:p w14:paraId="36722562" w14:textId="77777777" w:rsidR="006A25D8" w:rsidRPr="006A25D8" w:rsidRDefault="006A25D8" w:rsidP="006A25D8">
      <w:pPr>
        <w:spacing w:after="0" w:line="256" w:lineRule="auto"/>
        <w:rPr>
          <w:rFonts w:ascii="Times New Roman" w:eastAsia="DengXian" w:hAnsi="Times New Roman" w:cs="Times New Roman"/>
          <w:kern w:val="2"/>
          <w:szCs w:val="22"/>
          <w:lang w:val="fr-FR" w:eastAsia="zh-CN"/>
          <w14:ligatures w14:val="standardContextual"/>
        </w:rPr>
      </w:pPr>
    </w:p>
    <w:p w14:paraId="5410F3C5" w14:textId="77777777" w:rsidR="006A25D8" w:rsidRPr="006A25D8" w:rsidRDefault="006A25D8" w:rsidP="006A25D8">
      <w:pPr>
        <w:numPr>
          <w:ilvl w:val="0"/>
          <w:numId w:val="51"/>
        </w:numPr>
        <w:spacing w:after="0" w:line="256" w:lineRule="auto"/>
        <w:ind w:left="360"/>
        <w:contextualSpacing/>
        <w:rPr>
          <w:rFonts w:ascii="Times New Roman" w:eastAsia="DengXian" w:hAnsi="Times New Roman" w:cs="Times New Roman"/>
          <w:kern w:val="2"/>
          <w:szCs w:val="22"/>
          <w:lang w:val="fr-FR" w:eastAsia="zh-CN"/>
          <w14:ligatures w14:val="standardContextual"/>
        </w:rPr>
      </w:pPr>
      <w:r w:rsidRPr="006A25D8">
        <w:rPr>
          <w:rFonts w:ascii="Times New Roman" w:eastAsia="DengXian" w:hAnsi="Times New Roman" w:cs="Times New Roman"/>
          <w:kern w:val="2"/>
          <w:szCs w:val="22"/>
          <w:lang w:val="fr-FR" w:eastAsia="zh-CN"/>
          <w14:ligatures w14:val="standardContextual"/>
        </w:rPr>
        <w:t>Veuillez nous faire part d’autres commentaires que vous pourriez avoir, ou si vous avez des pratiques spécifiques ou des expériences que vous pouvez partager*</w:t>
      </w:r>
    </w:p>
    <w:p w14:paraId="49EBA4DF" w14:textId="77777777" w:rsidR="006A25D8" w:rsidRPr="006A25D8" w:rsidRDefault="006A25D8" w:rsidP="006A25D8">
      <w:pPr>
        <w:spacing w:after="0" w:line="260" w:lineRule="exact"/>
        <w:rPr>
          <w:lang w:val="fr-FR"/>
        </w:rPr>
      </w:pPr>
    </w:p>
    <w:sectPr w:rsidR="006A25D8" w:rsidRPr="006A25D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3DEC0" w14:textId="77777777" w:rsidR="006E2BC4" w:rsidRDefault="006E2BC4">
      <w:pPr>
        <w:spacing w:after="0" w:line="240" w:lineRule="auto"/>
      </w:pPr>
      <w:r>
        <w:separator/>
      </w:r>
    </w:p>
  </w:endnote>
  <w:endnote w:type="continuationSeparator" w:id="0">
    <w:p w14:paraId="4D650544" w14:textId="77777777" w:rsidR="006E2BC4" w:rsidRDefault="006E2BC4">
      <w:pPr>
        <w:spacing w:after="0" w:line="240" w:lineRule="auto"/>
      </w:pPr>
      <w:r>
        <w:continuationSeparator/>
      </w:r>
    </w:p>
  </w:endnote>
  <w:endnote w:type="continuationNotice" w:id="1">
    <w:p w14:paraId="743FFB2C" w14:textId="77777777" w:rsidR="006E2BC4" w:rsidRDefault="006E2B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C3438" w14:textId="39A4AB56" w:rsidR="001A5F74" w:rsidRDefault="001A5F74">
    <w:pPr>
      <w:pStyle w:val="P68B1DB1-Footer34"/>
      <w:tabs>
        <w:tab w:val="clear" w:pos="4680"/>
        <w:tab w:val="clear" w:pos="9360"/>
      </w:tabs>
      <w:jc w:val="center"/>
    </w:pPr>
    <w:r>
      <w:fldChar w:fldCharType="begin"/>
    </w:r>
    <w:r>
      <w:instrText xml:space="preserve"> PAGE   \* MERGEFORMAT </w:instrText>
    </w:r>
    <w:r>
      <w:fldChar w:fldCharType="separate"/>
    </w:r>
    <w:r w:rsidR="00F43C27">
      <w:rPr>
        <w:noProof/>
      </w:rPr>
      <w:t>26</w:t>
    </w:r>
    <w:r>
      <w:fldChar w:fldCharType="end"/>
    </w:r>
  </w:p>
  <w:p w14:paraId="248058D5" w14:textId="77777777" w:rsidR="001A5F74" w:rsidRDefault="001A5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D000B" w14:textId="77777777" w:rsidR="006E2BC4" w:rsidRDefault="006E2BC4">
      <w:pPr>
        <w:spacing w:after="0" w:line="240" w:lineRule="auto"/>
      </w:pPr>
      <w:r>
        <w:separator/>
      </w:r>
    </w:p>
  </w:footnote>
  <w:footnote w:type="continuationSeparator" w:id="0">
    <w:p w14:paraId="5DD781C2" w14:textId="77777777" w:rsidR="006E2BC4" w:rsidRDefault="006E2BC4">
      <w:pPr>
        <w:spacing w:after="0" w:line="240" w:lineRule="auto"/>
      </w:pPr>
      <w:r>
        <w:continuationSeparator/>
      </w:r>
    </w:p>
  </w:footnote>
  <w:footnote w:type="continuationNotice" w:id="1">
    <w:p w14:paraId="3A7F3215" w14:textId="77777777" w:rsidR="006E2BC4" w:rsidRDefault="006E2BC4">
      <w:pPr>
        <w:spacing w:after="0" w:line="240" w:lineRule="auto"/>
      </w:pPr>
    </w:p>
  </w:footnote>
  <w:footnote w:id="2">
    <w:p w14:paraId="0A5956FC" w14:textId="04DF2279" w:rsidR="001A5F74" w:rsidRDefault="001A5F74">
      <w:pPr>
        <w:pStyle w:val="FootnoteText"/>
      </w:pPr>
      <w:r>
        <w:rPr>
          <w:rStyle w:val="FootnoteReference"/>
        </w:rPr>
        <w:footnoteRef/>
      </w:r>
      <w:r>
        <w:t xml:space="preserve"> </w:t>
      </w:r>
      <w:r>
        <w:rPr>
          <w:rFonts w:asciiTheme="majorBidi" w:hAnsiTheme="majorBidi" w:cstheme="majorBidi"/>
        </w:rPr>
        <w:t>Voir https://unstats.un.org/unsd/methodology/dataquality/about/.</w:t>
      </w:r>
    </w:p>
  </w:footnote>
  <w:footnote w:id="3">
    <w:p w14:paraId="3B56F269" w14:textId="0BD96CD8" w:rsidR="001A5F74" w:rsidRDefault="001A5F74">
      <w:pPr>
        <w:pStyle w:val="FootnoteText"/>
      </w:pPr>
      <w:r>
        <w:rPr>
          <w:rStyle w:val="FootnoteReference"/>
        </w:rPr>
        <w:footnoteRef/>
      </w:r>
      <w:r>
        <w:t xml:space="preserve"> </w:t>
      </w:r>
      <w:r>
        <w:rPr>
          <w:rFonts w:asciiTheme="majorBidi" w:hAnsiTheme="majorBidi" w:cstheme="majorBidi"/>
        </w:rPr>
        <w:t xml:space="preserve">Le Manuel des cadres nationaux d’assurance de la qualité des statistiques officielles de l’ONU (ci-après dénommé </w:t>
      </w:r>
      <w:r>
        <w:rPr>
          <w:rFonts w:asciiTheme="majorBidi" w:hAnsiTheme="majorBidi" w:cstheme="majorBidi"/>
          <w:i/>
        </w:rPr>
        <w:t>Manuel</w:t>
      </w:r>
      <w:r>
        <w:rPr>
          <w:rFonts w:asciiTheme="majorBidi" w:hAnsiTheme="majorBidi" w:cstheme="majorBidi"/>
        </w:rPr>
        <w:t>) contient une liste d’autres sources de données au paragraphe 7.6.</w:t>
      </w:r>
    </w:p>
  </w:footnote>
  <w:footnote w:id="4">
    <w:p w14:paraId="77B4BFC8" w14:textId="077710DB" w:rsidR="001A5F74" w:rsidRDefault="001A5F74">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Les pays qui n’ont pas de CNAQ peuvent se référer à la feuille de route élaborée par le </w:t>
      </w:r>
      <w:r w:rsidR="002659C5">
        <w:rPr>
          <w:rFonts w:asciiTheme="majorBidi" w:hAnsiTheme="majorBidi" w:cstheme="majorBidi"/>
        </w:rPr>
        <w:t>GE-CNAQ</w:t>
      </w:r>
      <w:r>
        <w:rPr>
          <w:rFonts w:asciiTheme="majorBidi" w:hAnsiTheme="majorBidi" w:cstheme="majorBidi"/>
        </w:rPr>
        <w:t xml:space="preserve">, qui fournit des orientations détaillées sur l’élaboration et la mise en œuvre d’un CNAQ, voir </w:t>
      </w:r>
      <w:hyperlink r:id="rId1" w:history="1">
        <w:r>
          <w:rPr>
            <w:rStyle w:val="Hyperlink"/>
            <w:rFonts w:asciiTheme="majorBidi" w:hAnsiTheme="majorBidi" w:cstheme="majorBidi"/>
          </w:rPr>
          <w:t>https://unstats.un.org/unsd/methodology/dataquality/roadmap/</w:t>
        </w:r>
      </w:hyperlink>
      <w:r>
        <w:rPr>
          <w:rFonts w:asciiTheme="majorBidi" w:hAnsiTheme="majorBidi" w:cstheme="majorBidi"/>
        </w:rPr>
        <w:t>.</w:t>
      </w:r>
    </w:p>
  </w:footnote>
  <w:footnote w:id="5">
    <w:p w14:paraId="7FDCA4C0" w14:textId="5ADCB061" w:rsidR="001A5F74" w:rsidRDefault="001A5F74">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Voir la définition de «agence statistique» dans le glossaire de l’annexe 2.</w:t>
      </w:r>
    </w:p>
  </w:footnote>
  <w:footnote w:id="6">
    <w:p w14:paraId="17F33787" w14:textId="6D76431A" w:rsidR="001A5F74" w:rsidRDefault="001A5F74">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Veuillez consulter le répertoire des pratiques nationales, des lignes directrices, des cadres et des outils disponibles sur l’assurance de la qualité lors de l’utilisation de sources de données administratives et autres, disponible à l’adresse suivante: </w:t>
      </w:r>
      <w:hyperlink r:id="rId2" w:history="1">
        <w:r>
          <w:rPr>
            <w:rStyle w:val="Hyperlink"/>
            <w:rFonts w:asciiTheme="majorBidi" w:hAnsiTheme="majorBidi" w:cstheme="majorBidi"/>
          </w:rPr>
          <w:t>https://unstats.un.org/wiki/pages/viewpage.action?pageId=224264259</w:t>
        </w:r>
      </w:hyperlink>
      <w:r>
        <w:rPr>
          <w:rFonts w:asciiTheme="majorBidi" w:hAnsiTheme="majorBidi" w:cstheme="majorBidi"/>
        </w:rPr>
        <w:t>.</w:t>
      </w:r>
    </w:p>
  </w:footnote>
  <w:footnote w:id="7">
    <w:p w14:paraId="683E581C" w14:textId="77777777" w:rsidR="001A5F74" w:rsidRDefault="001A5F74">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Par exemple, aucune distinction n’est faite quant à savoir si une source de données est explorée pour la première fois ou déjà acquise et utilisée régulièrement.</w:t>
      </w:r>
    </w:p>
  </w:footnote>
  <w:footnote w:id="8">
    <w:p w14:paraId="25077932" w14:textId="72362E32" w:rsidR="001A5F74" w:rsidRDefault="001A5F74">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Voir le mandat et la composition du sous-groupe, disponible à l’adresse suivante:  </w:t>
      </w:r>
      <w:hyperlink r:id="rId3" w:history="1">
        <w:r>
          <w:rPr>
            <w:rStyle w:val="Hyperlink"/>
            <w:rFonts w:asciiTheme="majorBidi" w:hAnsiTheme="majorBidi" w:cstheme="majorBidi"/>
          </w:rPr>
          <w:t>https://unstats.un.org/wiki/display/EGNQAFSA/EG-NQAF+Subgroup+on+admin+and+other+data+sources</w:t>
        </w:r>
      </w:hyperlink>
      <w:r>
        <w:rPr>
          <w:rFonts w:asciiTheme="majorBidi" w:hAnsiTheme="majorBidi" w:cstheme="majorBidi"/>
        </w:rPr>
        <w:t>. Le mandat du Sous-Groupe comprend également la question de l’utilisation de sources de données multiples qui ne sont toutefois pas couvertes par le présent module et qui seront examinées séparément.</w:t>
      </w:r>
    </w:p>
  </w:footnote>
  <w:footnote w:id="9">
    <w:p w14:paraId="4EDE7C98" w14:textId="183320A5" w:rsidR="001A5F74" w:rsidRDefault="001A5F74">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Sur la base du </w:t>
      </w:r>
      <w:r>
        <w:rPr>
          <w:rFonts w:asciiTheme="majorBidi" w:hAnsiTheme="majorBidi" w:cstheme="majorBidi"/>
          <w:i/>
        </w:rPr>
        <w:t>manuel,</w:t>
      </w:r>
      <w:r>
        <w:rPr>
          <w:rFonts w:asciiTheme="majorBidi" w:hAnsiTheme="majorBidi" w:cstheme="majorBidi"/>
        </w:rPr>
        <w:t xml:space="preserve"> disponible à l’adresse suivante</w:t>
      </w:r>
      <w:r w:rsidR="009940D8">
        <w:rPr>
          <w:rFonts w:asciiTheme="majorBidi" w:hAnsiTheme="majorBidi" w:cstheme="majorBidi"/>
        </w:rPr>
        <w:t xml:space="preserve"> </w:t>
      </w:r>
      <w:r>
        <w:rPr>
          <w:rFonts w:asciiTheme="majorBidi" w:hAnsiTheme="majorBidi" w:cstheme="majorBidi"/>
        </w:rPr>
        <w:t xml:space="preserve">: </w:t>
      </w:r>
      <w:hyperlink r:id="rId4" w:history="1">
        <w:r>
          <w:rPr>
            <w:rStyle w:val="Hyperlink"/>
            <w:rFonts w:asciiTheme="majorBidi" w:hAnsiTheme="majorBidi" w:cstheme="majorBidi"/>
          </w:rPr>
          <w:t>https://unstats.un.org/UNSDWebsite/data-quality/user-manual</w:t>
        </w:r>
      </w:hyperlink>
      <w:r>
        <w:rPr>
          <w:rFonts w:asciiTheme="majorBidi" w:hAnsiTheme="majorBidi" w:cstheme="majorBidi"/>
        </w:rPr>
        <w:t>.</w:t>
      </w:r>
    </w:p>
  </w:footnote>
  <w:footnote w:id="10">
    <w:p w14:paraId="705E04EC" w14:textId="6B17D0DB" w:rsidR="001A5F74" w:rsidRDefault="001A5F74">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Ces prescriptions du CNAQ des Nations unies sont énumérées à l’annexe 3 par souci de commodité.</w:t>
      </w:r>
    </w:p>
  </w:footnote>
  <w:footnote w:id="11">
    <w:p w14:paraId="32B5082F" w14:textId="5A69BC56" w:rsidR="001A5F74" w:rsidRDefault="001A5F74">
      <w:pPr>
        <w:pStyle w:val="FootnoteText"/>
      </w:pPr>
      <w:r>
        <w:rPr>
          <w:rStyle w:val="FootnoteReference"/>
          <w:rFonts w:asciiTheme="majorBidi" w:hAnsiTheme="majorBidi" w:cstheme="majorBidi"/>
        </w:rPr>
        <w:footnoteRef/>
      </w:r>
      <w:r>
        <w:rPr>
          <w:rFonts w:asciiTheme="majorBidi" w:hAnsiTheme="majorBidi" w:cstheme="majorBidi"/>
        </w:rPr>
        <w:t xml:space="preserve"> Il est possible de mettre en évidence les sous-processus du GSBPM qui sont particulièrement concernés pour assurer la qualité des statistiques lors de l’utilisation de</w:t>
      </w:r>
      <w:r w:rsidR="009940D8">
        <w:rPr>
          <w:rFonts w:asciiTheme="majorBidi" w:hAnsiTheme="majorBidi" w:cstheme="majorBidi"/>
        </w:rPr>
        <w:t>s</w:t>
      </w:r>
      <w:r>
        <w:rPr>
          <w:rFonts w:asciiTheme="majorBidi" w:hAnsiTheme="majorBidi" w:cstheme="majorBidi"/>
        </w:rPr>
        <w:t xml:space="preserve"> données administratives et autres sources de données. Par exemple, les sous-processus 1.1 Identifier les besoins, 1.2 Consulter et confirmer les besoins, 1.3 Établir des objectifs de réalisation et 1.4 Identifier les concepts correspondent à l’</w:t>
      </w:r>
      <w:r w:rsidR="009940D8">
        <w:rPr>
          <w:rFonts w:asciiTheme="majorBidi" w:hAnsiTheme="majorBidi" w:cstheme="majorBidi"/>
        </w:rPr>
        <w:t>A</w:t>
      </w:r>
      <w:r>
        <w:rPr>
          <w:rFonts w:asciiTheme="majorBidi" w:hAnsiTheme="majorBidi" w:cstheme="majorBidi"/>
        </w:rPr>
        <w:t>ction 1 de l’approche conceptuelle qui concerne la sélection de la source de données en fonction des besoins des utilisateurs. Toutefois, l’assurance qualité est un processus global dans le cadre du GSBPM et il n’existe actuellement pas de correspondance détaillée entre l’assurance qualité et les sous-processus GSBPM.</w:t>
      </w:r>
    </w:p>
  </w:footnote>
  <w:footnote w:id="12">
    <w:p w14:paraId="7CA58B3D" w14:textId="256B2328" w:rsidR="001A5F74" w:rsidRDefault="001A5F74">
      <w:pPr>
        <w:pStyle w:val="FootnoteText"/>
      </w:pPr>
      <w:r>
        <w:rPr>
          <w:rStyle w:val="FootnoteReference"/>
          <w:rFonts w:asciiTheme="majorBidi" w:hAnsiTheme="majorBidi" w:cstheme="majorBidi"/>
        </w:rPr>
        <w:footnoteRef/>
      </w:r>
      <w:r>
        <w:rPr>
          <w:rFonts w:asciiTheme="majorBidi" w:hAnsiTheme="majorBidi" w:cstheme="majorBidi"/>
        </w:rPr>
        <w:t xml:space="preserve"> Voir la définition de «fournisseur de données» dans le glossaire de l’annexe 2. Les fournisseurs de données sont censés fournir des données de niveau d</w:t>
      </w:r>
      <w:r w:rsidR="00636ADB">
        <w:rPr>
          <w:rFonts w:asciiTheme="majorBidi" w:hAnsiTheme="majorBidi" w:cstheme="majorBidi"/>
        </w:rPr>
        <w:t>e l’unité d’</w:t>
      </w:r>
      <w:r>
        <w:rPr>
          <w:rFonts w:asciiTheme="majorBidi" w:hAnsiTheme="majorBidi" w:cstheme="majorBidi"/>
        </w:rPr>
        <w:t>observation et des données agrégées, selon le cas.</w:t>
      </w:r>
    </w:p>
  </w:footnote>
  <w:footnote w:id="13">
    <w:p w14:paraId="1C7202C5" w14:textId="5A599D6C" w:rsidR="001A5F74" w:rsidRDefault="001A5F74">
      <w:pPr>
        <w:pStyle w:val="FootnoteText"/>
      </w:pPr>
      <w:r>
        <w:rPr>
          <w:rStyle w:val="FootnoteReference"/>
        </w:rPr>
        <w:footnoteRef/>
      </w:r>
      <w:r>
        <w:t xml:space="preserve"> </w:t>
      </w:r>
      <w:hyperlink r:id="rId5" w:history="1">
        <w:r>
          <w:rPr>
            <w:rStyle w:val="Hyperlink"/>
            <w:rFonts w:asciiTheme="majorBidi" w:hAnsiTheme="majorBidi" w:cstheme="majorBidi"/>
          </w:rPr>
          <w:t>https://unstats.un.org/wiki/pages/viewpage.action?pageId=224264259</w:t>
        </w:r>
      </w:hyperlink>
      <w:r>
        <w:rPr>
          <w:rStyle w:val="Hyperlink"/>
          <w:rFonts w:asciiTheme="majorBidi" w:hAnsiTheme="majorBidi" w:cstheme="majorBidi"/>
        </w:rPr>
        <w:t>.</w:t>
      </w:r>
    </w:p>
  </w:footnote>
  <w:footnote w:id="14">
    <w:p w14:paraId="657CF0D6" w14:textId="20373160" w:rsidR="001A5F74" w:rsidRDefault="001A5F74">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L’annexe 4 présente une cartographie des dix exigences essentielles en matière d’assurance qualité lors de l’utilisation de</w:t>
      </w:r>
      <w:r w:rsidR="00E10875">
        <w:rPr>
          <w:rFonts w:asciiTheme="majorBidi" w:hAnsiTheme="majorBidi" w:cstheme="majorBidi"/>
        </w:rPr>
        <w:t>s</w:t>
      </w:r>
      <w:r>
        <w:rPr>
          <w:rFonts w:asciiTheme="majorBidi" w:hAnsiTheme="majorBidi" w:cstheme="majorBidi"/>
        </w:rPr>
        <w:t xml:space="preserve"> données administratives et autres sources de données avec les exigences pertinentes du CNAQ des Nations </w:t>
      </w:r>
      <w:r w:rsidR="00E10875">
        <w:rPr>
          <w:rFonts w:asciiTheme="majorBidi" w:hAnsiTheme="majorBidi" w:cstheme="majorBidi"/>
        </w:rPr>
        <w:t>U</w:t>
      </w:r>
      <w:r>
        <w:rPr>
          <w:rFonts w:asciiTheme="majorBidi" w:hAnsiTheme="majorBidi" w:cstheme="majorBidi"/>
        </w:rPr>
        <w:t xml:space="preserve">nies, conformément à l’approche conceptuelle. Elle permet de voir ce qui est déjà couvert dans le CNAQ des Nations </w:t>
      </w:r>
      <w:r w:rsidR="00E10875">
        <w:rPr>
          <w:rFonts w:asciiTheme="majorBidi" w:hAnsiTheme="majorBidi" w:cstheme="majorBidi"/>
        </w:rPr>
        <w:t>U</w:t>
      </w:r>
      <w:r>
        <w:rPr>
          <w:rFonts w:asciiTheme="majorBidi" w:hAnsiTheme="majorBidi" w:cstheme="majorBidi"/>
        </w:rPr>
        <w:t>nies et où il y a des lacunes.</w:t>
      </w:r>
    </w:p>
  </w:footnote>
  <w:footnote w:id="15">
    <w:p w14:paraId="5BDA4F4D" w14:textId="14D9ECCC" w:rsidR="001A5F74" w:rsidRDefault="001A5F74">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L’intégration des données peut être réalisée, par exemple, par l’utilisation des</w:t>
      </w:r>
      <w:r>
        <w:rPr>
          <w:rFonts w:asciiTheme="majorBidi" w:hAnsiTheme="majorBidi" w:cstheme="majorBidi"/>
          <w:kern w:val="24"/>
        </w:rPr>
        <w:t xml:space="preserve"> méthodes de couplage </w:t>
      </w:r>
      <w:r w:rsidR="00AB10E9">
        <w:rPr>
          <w:rFonts w:asciiTheme="majorBidi" w:hAnsiTheme="majorBidi" w:cstheme="majorBidi"/>
          <w:kern w:val="24"/>
        </w:rPr>
        <w:t>des observations</w:t>
      </w:r>
      <w:r>
        <w:rPr>
          <w:rFonts w:asciiTheme="majorBidi" w:hAnsiTheme="majorBidi" w:cstheme="majorBidi"/>
          <w:kern w:val="24"/>
        </w:rPr>
        <w:t>.</w:t>
      </w:r>
      <w:r>
        <w:rPr>
          <w:rFonts w:asciiTheme="majorBidi" w:hAnsiTheme="majorBidi" w:cstheme="majorBidi"/>
        </w:rPr>
        <w:t xml:space="preserve"> Voir Manuel, par. 7.18. pour plus d’informations et de références.</w:t>
      </w:r>
    </w:p>
  </w:footnote>
  <w:footnote w:id="16">
    <w:p w14:paraId="3390F75C" w14:textId="49534944" w:rsidR="001A5F74" w:rsidRDefault="001A5F74">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Un format standard pour les métadonnées de données </w:t>
      </w:r>
      <w:r w:rsidR="00163558">
        <w:rPr>
          <w:rFonts w:asciiTheme="majorBidi" w:hAnsiTheme="majorBidi" w:cstheme="majorBidi"/>
        </w:rPr>
        <w:t>base</w:t>
      </w:r>
      <w:r>
        <w:rPr>
          <w:rFonts w:asciiTheme="majorBidi" w:hAnsiTheme="majorBidi" w:cstheme="majorBidi"/>
        </w:rPr>
        <w:t xml:space="preserve"> peut être élaboré sur la base des normes connexes existantes, telles que la norme du système statistique européen sur les métadonnées de référence et les rapports de qualité des processus et les produits statistiques; voir le manuel du </w:t>
      </w:r>
      <w:r w:rsidR="00AF041E">
        <w:rPr>
          <w:rFonts w:asciiTheme="majorBidi" w:hAnsiTheme="majorBidi" w:cstheme="majorBidi"/>
        </w:rPr>
        <w:t>S</w:t>
      </w:r>
      <w:r>
        <w:rPr>
          <w:rFonts w:asciiTheme="majorBidi" w:hAnsiTheme="majorBidi" w:cstheme="majorBidi"/>
        </w:rPr>
        <w:t xml:space="preserve">ystème </w:t>
      </w:r>
      <w:r w:rsidR="00AF041E">
        <w:rPr>
          <w:rFonts w:asciiTheme="majorBidi" w:hAnsiTheme="majorBidi" w:cstheme="majorBidi"/>
        </w:rPr>
        <w:t>S</w:t>
      </w:r>
      <w:r>
        <w:rPr>
          <w:rFonts w:asciiTheme="majorBidi" w:hAnsiTheme="majorBidi" w:cstheme="majorBidi"/>
        </w:rPr>
        <w:t xml:space="preserve">tatistique </w:t>
      </w:r>
      <w:r w:rsidR="00AF041E">
        <w:rPr>
          <w:rFonts w:asciiTheme="majorBidi" w:hAnsiTheme="majorBidi" w:cstheme="majorBidi"/>
        </w:rPr>
        <w:t>E</w:t>
      </w:r>
      <w:r>
        <w:rPr>
          <w:rFonts w:asciiTheme="majorBidi" w:hAnsiTheme="majorBidi" w:cstheme="majorBidi"/>
        </w:rPr>
        <w:t xml:space="preserve">uropéen (SSE) pour les rapports sur la qualité et les métadonnées — réédition 2021, disponible à l’adresse suivante: </w:t>
      </w:r>
      <w:hyperlink r:id="rId6" w:history="1">
        <w:r>
          <w:rPr>
            <w:rStyle w:val="Hyperlink"/>
            <w:rFonts w:asciiTheme="majorBidi" w:hAnsiTheme="majorBidi" w:cstheme="majorBidi"/>
          </w:rPr>
          <w:t>https://ec.europa.eu/eurostat/web/products-manuals-and-guidelines/-/KS-GQ-21-021</w:t>
        </w:r>
      </w:hyperlink>
      <w:r>
        <w:rPr>
          <w:rFonts w:asciiTheme="majorBidi" w:hAnsiTheme="majorBidi" w:cstheme="majorBidi"/>
        </w:rPr>
        <w:t>.</w:t>
      </w:r>
    </w:p>
  </w:footnote>
  <w:footnote w:id="17">
    <w:p w14:paraId="5A2D1515" w14:textId="77777777" w:rsidR="001A5F74" w:rsidRDefault="001A5F74">
      <w:pPr>
        <w:pStyle w:val="FootnoteText"/>
        <w:rPr>
          <w:rFonts w:asciiTheme="majorBidi" w:hAnsiTheme="majorBidi" w:cstheme="majorBidi"/>
        </w:rPr>
      </w:pPr>
      <w:r>
        <w:rPr>
          <w:rStyle w:val="FootnoteReference"/>
          <w:rFonts w:asciiTheme="majorBidi" w:hAnsiTheme="majorBidi" w:cstheme="majorBidi"/>
        </w:rPr>
        <w:footnoteRef/>
      </w:r>
      <w:r>
        <w:rPr>
          <w:rStyle w:val="FootnoteReference"/>
          <w:rFonts w:asciiTheme="majorBidi" w:hAnsiTheme="majorBidi" w:cstheme="majorBidi"/>
        </w:rPr>
        <w:t xml:space="preserve"> </w:t>
      </w:r>
      <w:r>
        <w:rPr>
          <w:rFonts w:asciiTheme="majorBidi" w:hAnsiTheme="majorBidi" w:cstheme="majorBidi"/>
        </w:rPr>
        <w:t>La liste des indicateurs proposés est déjà largement utilisée pour les données administratives, et davantage d’expérience et de rétroaction sont nécessaires pour mieux évaluer leur applicabilité à d’autres données et pour élaborer des indicateurs supplémentaires, si nécessaire.</w:t>
      </w:r>
    </w:p>
  </w:footnote>
  <w:footnote w:id="18">
    <w:p w14:paraId="0C584D2C" w14:textId="7E21F2A9" w:rsidR="001A5F74" w:rsidRDefault="001A5F74">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Pour de plus amples informations sur la mise en œuvre des validations automatisées, veuillez consulter les travaux du groupe de travail du Secrétariat SDMX pour le langage de validation et de transformation (VTL) qui a élaboré un langage standard pour définir les règles de validation et de transformation, voir </w:t>
      </w:r>
      <w:hyperlink r:id="rId7" w:history="1">
        <w:r>
          <w:rPr>
            <w:rStyle w:val="Hyperlink"/>
            <w:rFonts w:asciiTheme="majorBidi" w:hAnsiTheme="majorBidi" w:cstheme="majorBidi"/>
          </w:rPr>
          <w:t>https://sdmx.org/?page_id=5096</w:t>
        </w:r>
      </w:hyperlink>
      <w:r>
        <w:rPr>
          <w:rFonts w:asciiTheme="majorBidi" w:hAnsiTheme="majorBidi" w:cstheme="majorBidi"/>
        </w:rPr>
        <w:t>.</w:t>
      </w:r>
    </w:p>
  </w:footnote>
  <w:footnote w:id="19">
    <w:p w14:paraId="236EF942" w14:textId="6B7F24A7" w:rsidR="001A5F74" w:rsidRDefault="001A5F74" w:rsidP="00F67E40">
      <w:pPr>
        <w:shd w:val="clear" w:color="auto" w:fill="FFFFFF"/>
        <w:spacing w:after="120" w:line="240" w:lineRule="auto"/>
        <w:rPr>
          <w:rFonts w:asciiTheme="majorBidi" w:eastAsia="Times New Roman" w:hAnsiTheme="majorBidi" w:cstheme="majorBidi"/>
          <w:color w:val="000000" w:themeColor="text1"/>
          <w:sz w:val="20"/>
        </w:rPr>
      </w:pPr>
      <w:r>
        <w:rPr>
          <w:rStyle w:val="FootnoteReference"/>
          <w:rFonts w:asciiTheme="majorBidi" w:hAnsiTheme="majorBidi" w:cstheme="majorBidi"/>
          <w:sz w:val="20"/>
        </w:rPr>
        <w:footnoteRef/>
      </w:r>
      <w:r>
        <w:rPr>
          <w:rFonts w:asciiTheme="majorBidi" w:hAnsiTheme="majorBidi" w:cstheme="majorBidi"/>
          <w:sz w:val="20"/>
        </w:rPr>
        <w:t xml:space="preserve"> </w:t>
      </w:r>
      <w:r w:rsidRPr="005C7065">
        <w:rPr>
          <w:rFonts w:asciiTheme="majorBidi" w:eastAsia="Times New Roman" w:hAnsiTheme="majorBidi" w:cstheme="majorBidi"/>
          <w:color w:val="000000" w:themeColor="text1"/>
          <w:sz w:val="20"/>
        </w:rPr>
        <w:t>Cependant, certains organismes statistiques font une distinction entre les deux termes, la cohérence se référant à l’utilisation de normes et l’</w:t>
      </w:r>
      <w:r w:rsidRPr="005C7065">
        <w:rPr>
          <w:rFonts w:asciiTheme="majorBidi" w:eastAsia="Times New Roman" w:hAnsiTheme="majorBidi" w:cstheme="majorBidi"/>
          <w:bCs/>
          <w:color w:val="000000" w:themeColor="text1"/>
          <w:sz w:val="20"/>
        </w:rPr>
        <w:t>homogénéité</w:t>
      </w:r>
      <w:r w:rsidRPr="005C7065">
        <w:rPr>
          <w:rFonts w:asciiTheme="majorBidi" w:eastAsia="Times New Roman" w:hAnsiTheme="majorBidi" w:cstheme="majorBidi"/>
          <w:color w:val="000000" w:themeColor="text1"/>
          <w:sz w:val="20"/>
        </w:rPr>
        <w:t xml:space="preserve"> se référant à la logique interne d’un ensemble de données.</w:t>
      </w:r>
    </w:p>
    <w:p w14:paraId="07BED126" w14:textId="735D18AA" w:rsidR="001A5F74" w:rsidRDefault="001A5F7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0FA3"/>
    <w:multiLevelType w:val="hybridMultilevel"/>
    <w:tmpl w:val="89C8601A"/>
    <w:lvl w:ilvl="0" w:tplc="8A0429E6">
      <w:start w:val="1"/>
      <w:numFmt w:val="lowerLetter"/>
      <w:lvlText w:val="8.%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14C7166"/>
    <w:multiLevelType w:val="multilevel"/>
    <w:tmpl w:val="6104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90877"/>
    <w:multiLevelType w:val="multilevel"/>
    <w:tmpl w:val="D7EE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66EE6"/>
    <w:multiLevelType w:val="multilevel"/>
    <w:tmpl w:val="9B86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2C709C"/>
    <w:multiLevelType w:val="hybridMultilevel"/>
    <w:tmpl w:val="FF863BF0"/>
    <w:lvl w:ilvl="0" w:tplc="B650C586">
      <w:start w:val="1"/>
      <w:numFmt w:val="lowerLetter"/>
      <w:lvlText w:val="7.%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BAE5395"/>
    <w:multiLevelType w:val="hybridMultilevel"/>
    <w:tmpl w:val="F0F8049E"/>
    <w:lvl w:ilvl="0" w:tplc="29622070">
      <w:start w:val="1"/>
      <w:numFmt w:val="lowerLetter"/>
      <w:lvlText w:val="2.%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03A3963"/>
    <w:multiLevelType w:val="multilevel"/>
    <w:tmpl w:val="ADB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E10AA3"/>
    <w:multiLevelType w:val="multilevel"/>
    <w:tmpl w:val="6722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31238F"/>
    <w:multiLevelType w:val="multilevel"/>
    <w:tmpl w:val="C83A1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864D35"/>
    <w:multiLevelType w:val="multilevel"/>
    <w:tmpl w:val="66961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252268"/>
    <w:multiLevelType w:val="hybridMultilevel"/>
    <w:tmpl w:val="5EE4DB9E"/>
    <w:lvl w:ilvl="0" w:tplc="E2020B50">
      <w:start w:val="1"/>
      <w:numFmt w:val="bullet"/>
      <w:lvlText w:val="•"/>
      <w:lvlJc w:val="left"/>
      <w:pPr>
        <w:tabs>
          <w:tab w:val="num" w:pos="720"/>
        </w:tabs>
        <w:ind w:left="720" w:hanging="360"/>
      </w:pPr>
      <w:rPr>
        <w:rFonts w:ascii="Arial" w:hAnsi="Arial" w:hint="default"/>
      </w:rPr>
    </w:lvl>
    <w:lvl w:ilvl="1" w:tplc="45148C52" w:tentative="1">
      <w:start w:val="1"/>
      <w:numFmt w:val="bullet"/>
      <w:lvlText w:val="•"/>
      <w:lvlJc w:val="left"/>
      <w:pPr>
        <w:tabs>
          <w:tab w:val="num" w:pos="1440"/>
        </w:tabs>
        <w:ind w:left="1440" w:hanging="360"/>
      </w:pPr>
      <w:rPr>
        <w:rFonts w:ascii="Arial" w:hAnsi="Arial" w:hint="default"/>
      </w:rPr>
    </w:lvl>
    <w:lvl w:ilvl="2" w:tplc="8E1AEEA0">
      <w:start w:val="1"/>
      <w:numFmt w:val="bullet"/>
      <w:lvlText w:val="•"/>
      <w:lvlJc w:val="left"/>
      <w:pPr>
        <w:tabs>
          <w:tab w:val="num" w:pos="2160"/>
        </w:tabs>
        <w:ind w:left="2160" w:hanging="360"/>
      </w:pPr>
      <w:rPr>
        <w:rFonts w:ascii="Arial" w:hAnsi="Arial" w:hint="default"/>
      </w:rPr>
    </w:lvl>
    <w:lvl w:ilvl="3" w:tplc="076C0136" w:tentative="1">
      <w:start w:val="1"/>
      <w:numFmt w:val="bullet"/>
      <w:lvlText w:val="•"/>
      <w:lvlJc w:val="left"/>
      <w:pPr>
        <w:tabs>
          <w:tab w:val="num" w:pos="2880"/>
        </w:tabs>
        <w:ind w:left="2880" w:hanging="360"/>
      </w:pPr>
      <w:rPr>
        <w:rFonts w:ascii="Arial" w:hAnsi="Arial" w:hint="default"/>
      </w:rPr>
    </w:lvl>
    <w:lvl w:ilvl="4" w:tplc="EDE622D8" w:tentative="1">
      <w:start w:val="1"/>
      <w:numFmt w:val="bullet"/>
      <w:lvlText w:val="•"/>
      <w:lvlJc w:val="left"/>
      <w:pPr>
        <w:tabs>
          <w:tab w:val="num" w:pos="3600"/>
        </w:tabs>
        <w:ind w:left="3600" w:hanging="360"/>
      </w:pPr>
      <w:rPr>
        <w:rFonts w:ascii="Arial" w:hAnsi="Arial" w:hint="default"/>
      </w:rPr>
    </w:lvl>
    <w:lvl w:ilvl="5" w:tplc="1B16970E" w:tentative="1">
      <w:start w:val="1"/>
      <w:numFmt w:val="bullet"/>
      <w:lvlText w:val="•"/>
      <w:lvlJc w:val="left"/>
      <w:pPr>
        <w:tabs>
          <w:tab w:val="num" w:pos="4320"/>
        </w:tabs>
        <w:ind w:left="4320" w:hanging="360"/>
      </w:pPr>
      <w:rPr>
        <w:rFonts w:ascii="Arial" w:hAnsi="Arial" w:hint="default"/>
      </w:rPr>
    </w:lvl>
    <w:lvl w:ilvl="6" w:tplc="A272982A" w:tentative="1">
      <w:start w:val="1"/>
      <w:numFmt w:val="bullet"/>
      <w:lvlText w:val="•"/>
      <w:lvlJc w:val="left"/>
      <w:pPr>
        <w:tabs>
          <w:tab w:val="num" w:pos="5040"/>
        </w:tabs>
        <w:ind w:left="5040" w:hanging="360"/>
      </w:pPr>
      <w:rPr>
        <w:rFonts w:ascii="Arial" w:hAnsi="Arial" w:hint="default"/>
      </w:rPr>
    </w:lvl>
    <w:lvl w:ilvl="7" w:tplc="F5CA0E06" w:tentative="1">
      <w:start w:val="1"/>
      <w:numFmt w:val="bullet"/>
      <w:lvlText w:val="•"/>
      <w:lvlJc w:val="left"/>
      <w:pPr>
        <w:tabs>
          <w:tab w:val="num" w:pos="5760"/>
        </w:tabs>
        <w:ind w:left="5760" w:hanging="360"/>
      </w:pPr>
      <w:rPr>
        <w:rFonts w:ascii="Arial" w:hAnsi="Arial" w:hint="default"/>
      </w:rPr>
    </w:lvl>
    <w:lvl w:ilvl="8" w:tplc="59CC460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8896A96"/>
    <w:multiLevelType w:val="multilevel"/>
    <w:tmpl w:val="6FB4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8C6DD0"/>
    <w:multiLevelType w:val="multilevel"/>
    <w:tmpl w:val="124E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94786D"/>
    <w:multiLevelType w:val="multilevel"/>
    <w:tmpl w:val="5D6A3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333FFD"/>
    <w:multiLevelType w:val="hybridMultilevel"/>
    <w:tmpl w:val="271E3352"/>
    <w:lvl w:ilvl="0" w:tplc="11B6CD20">
      <w:start w:val="1"/>
      <w:numFmt w:val="lowerLetter"/>
      <w:lvlText w:val="3.%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1F995A2D"/>
    <w:multiLevelType w:val="hybridMultilevel"/>
    <w:tmpl w:val="E97031DC"/>
    <w:lvl w:ilvl="0" w:tplc="0E182A76">
      <w:start w:val="1"/>
      <w:numFmt w:val="lowerLetter"/>
      <w:lvlText w:val="6.%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227A5F99"/>
    <w:multiLevelType w:val="multilevel"/>
    <w:tmpl w:val="7F9A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2D726B"/>
    <w:multiLevelType w:val="multilevel"/>
    <w:tmpl w:val="9086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68054C"/>
    <w:multiLevelType w:val="multilevel"/>
    <w:tmpl w:val="CEBEC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5E3A87"/>
    <w:multiLevelType w:val="hybridMultilevel"/>
    <w:tmpl w:val="12DE3344"/>
    <w:lvl w:ilvl="0" w:tplc="3FFE8480">
      <w:start w:val="1"/>
      <w:numFmt w:val="bullet"/>
      <w:lvlText w:val="•"/>
      <w:lvlJc w:val="left"/>
      <w:pPr>
        <w:tabs>
          <w:tab w:val="num" w:pos="720"/>
        </w:tabs>
        <w:ind w:left="720" w:hanging="360"/>
      </w:pPr>
      <w:rPr>
        <w:rFonts w:ascii="Arial" w:hAnsi="Arial" w:hint="default"/>
      </w:rPr>
    </w:lvl>
    <w:lvl w:ilvl="1" w:tplc="8F9E2C1A" w:tentative="1">
      <w:start w:val="1"/>
      <w:numFmt w:val="bullet"/>
      <w:lvlText w:val="•"/>
      <w:lvlJc w:val="left"/>
      <w:pPr>
        <w:tabs>
          <w:tab w:val="num" w:pos="1440"/>
        </w:tabs>
        <w:ind w:left="1440" w:hanging="360"/>
      </w:pPr>
      <w:rPr>
        <w:rFonts w:ascii="Arial" w:hAnsi="Arial" w:hint="default"/>
      </w:rPr>
    </w:lvl>
    <w:lvl w:ilvl="2" w:tplc="45D2D990">
      <w:start w:val="1"/>
      <w:numFmt w:val="bullet"/>
      <w:lvlText w:val="•"/>
      <w:lvlJc w:val="left"/>
      <w:pPr>
        <w:tabs>
          <w:tab w:val="num" w:pos="2160"/>
        </w:tabs>
        <w:ind w:left="2160" w:hanging="360"/>
      </w:pPr>
      <w:rPr>
        <w:rFonts w:ascii="Arial" w:hAnsi="Arial" w:hint="default"/>
      </w:rPr>
    </w:lvl>
    <w:lvl w:ilvl="3" w:tplc="F22AFE6A" w:tentative="1">
      <w:start w:val="1"/>
      <w:numFmt w:val="bullet"/>
      <w:lvlText w:val="•"/>
      <w:lvlJc w:val="left"/>
      <w:pPr>
        <w:tabs>
          <w:tab w:val="num" w:pos="2880"/>
        </w:tabs>
        <w:ind w:left="2880" w:hanging="360"/>
      </w:pPr>
      <w:rPr>
        <w:rFonts w:ascii="Arial" w:hAnsi="Arial" w:hint="default"/>
      </w:rPr>
    </w:lvl>
    <w:lvl w:ilvl="4" w:tplc="CCDE1AEE" w:tentative="1">
      <w:start w:val="1"/>
      <w:numFmt w:val="bullet"/>
      <w:lvlText w:val="•"/>
      <w:lvlJc w:val="left"/>
      <w:pPr>
        <w:tabs>
          <w:tab w:val="num" w:pos="3600"/>
        </w:tabs>
        <w:ind w:left="3600" w:hanging="360"/>
      </w:pPr>
      <w:rPr>
        <w:rFonts w:ascii="Arial" w:hAnsi="Arial" w:hint="default"/>
      </w:rPr>
    </w:lvl>
    <w:lvl w:ilvl="5" w:tplc="5F6E91C6" w:tentative="1">
      <w:start w:val="1"/>
      <w:numFmt w:val="bullet"/>
      <w:lvlText w:val="•"/>
      <w:lvlJc w:val="left"/>
      <w:pPr>
        <w:tabs>
          <w:tab w:val="num" w:pos="4320"/>
        </w:tabs>
        <w:ind w:left="4320" w:hanging="360"/>
      </w:pPr>
      <w:rPr>
        <w:rFonts w:ascii="Arial" w:hAnsi="Arial" w:hint="default"/>
      </w:rPr>
    </w:lvl>
    <w:lvl w:ilvl="6" w:tplc="FD567508" w:tentative="1">
      <w:start w:val="1"/>
      <w:numFmt w:val="bullet"/>
      <w:lvlText w:val="•"/>
      <w:lvlJc w:val="left"/>
      <w:pPr>
        <w:tabs>
          <w:tab w:val="num" w:pos="5040"/>
        </w:tabs>
        <w:ind w:left="5040" w:hanging="360"/>
      </w:pPr>
      <w:rPr>
        <w:rFonts w:ascii="Arial" w:hAnsi="Arial" w:hint="default"/>
      </w:rPr>
    </w:lvl>
    <w:lvl w:ilvl="7" w:tplc="3CDC2AFA" w:tentative="1">
      <w:start w:val="1"/>
      <w:numFmt w:val="bullet"/>
      <w:lvlText w:val="•"/>
      <w:lvlJc w:val="left"/>
      <w:pPr>
        <w:tabs>
          <w:tab w:val="num" w:pos="5760"/>
        </w:tabs>
        <w:ind w:left="5760" w:hanging="360"/>
      </w:pPr>
      <w:rPr>
        <w:rFonts w:ascii="Arial" w:hAnsi="Arial" w:hint="default"/>
      </w:rPr>
    </w:lvl>
    <w:lvl w:ilvl="8" w:tplc="08562DC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E825BF5"/>
    <w:multiLevelType w:val="hybridMultilevel"/>
    <w:tmpl w:val="01A20346"/>
    <w:lvl w:ilvl="0" w:tplc="035420AE">
      <w:start w:val="1"/>
      <w:numFmt w:val="bullet"/>
      <w:lvlText w:val="•"/>
      <w:lvlJc w:val="left"/>
      <w:pPr>
        <w:tabs>
          <w:tab w:val="num" w:pos="720"/>
        </w:tabs>
        <w:ind w:left="720" w:hanging="360"/>
      </w:pPr>
      <w:rPr>
        <w:rFonts w:ascii="Arial" w:hAnsi="Arial" w:hint="default"/>
      </w:rPr>
    </w:lvl>
    <w:lvl w:ilvl="1" w:tplc="F698B41A" w:tentative="1">
      <w:start w:val="1"/>
      <w:numFmt w:val="bullet"/>
      <w:lvlText w:val="•"/>
      <w:lvlJc w:val="left"/>
      <w:pPr>
        <w:tabs>
          <w:tab w:val="num" w:pos="1440"/>
        </w:tabs>
        <w:ind w:left="1440" w:hanging="360"/>
      </w:pPr>
      <w:rPr>
        <w:rFonts w:ascii="Arial" w:hAnsi="Arial" w:hint="default"/>
      </w:rPr>
    </w:lvl>
    <w:lvl w:ilvl="2" w:tplc="C066ADE2">
      <w:start w:val="1"/>
      <w:numFmt w:val="bullet"/>
      <w:lvlText w:val="•"/>
      <w:lvlJc w:val="left"/>
      <w:pPr>
        <w:tabs>
          <w:tab w:val="num" w:pos="2160"/>
        </w:tabs>
        <w:ind w:left="2160" w:hanging="360"/>
      </w:pPr>
      <w:rPr>
        <w:rFonts w:ascii="Arial" w:hAnsi="Arial" w:hint="default"/>
      </w:rPr>
    </w:lvl>
    <w:lvl w:ilvl="3" w:tplc="6A9EA962" w:tentative="1">
      <w:start w:val="1"/>
      <w:numFmt w:val="bullet"/>
      <w:lvlText w:val="•"/>
      <w:lvlJc w:val="left"/>
      <w:pPr>
        <w:tabs>
          <w:tab w:val="num" w:pos="2880"/>
        </w:tabs>
        <w:ind w:left="2880" w:hanging="360"/>
      </w:pPr>
      <w:rPr>
        <w:rFonts w:ascii="Arial" w:hAnsi="Arial" w:hint="default"/>
      </w:rPr>
    </w:lvl>
    <w:lvl w:ilvl="4" w:tplc="B8A06F28" w:tentative="1">
      <w:start w:val="1"/>
      <w:numFmt w:val="bullet"/>
      <w:lvlText w:val="•"/>
      <w:lvlJc w:val="left"/>
      <w:pPr>
        <w:tabs>
          <w:tab w:val="num" w:pos="3600"/>
        </w:tabs>
        <w:ind w:left="3600" w:hanging="360"/>
      </w:pPr>
      <w:rPr>
        <w:rFonts w:ascii="Arial" w:hAnsi="Arial" w:hint="default"/>
      </w:rPr>
    </w:lvl>
    <w:lvl w:ilvl="5" w:tplc="D7AA13AE" w:tentative="1">
      <w:start w:val="1"/>
      <w:numFmt w:val="bullet"/>
      <w:lvlText w:val="•"/>
      <w:lvlJc w:val="left"/>
      <w:pPr>
        <w:tabs>
          <w:tab w:val="num" w:pos="4320"/>
        </w:tabs>
        <w:ind w:left="4320" w:hanging="360"/>
      </w:pPr>
      <w:rPr>
        <w:rFonts w:ascii="Arial" w:hAnsi="Arial" w:hint="default"/>
      </w:rPr>
    </w:lvl>
    <w:lvl w:ilvl="6" w:tplc="3A308DBC" w:tentative="1">
      <w:start w:val="1"/>
      <w:numFmt w:val="bullet"/>
      <w:lvlText w:val="•"/>
      <w:lvlJc w:val="left"/>
      <w:pPr>
        <w:tabs>
          <w:tab w:val="num" w:pos="5040"/>
        </w:tabs>
        <w:ind w:left="5040" w:hanging="360"/>
      </w:pPr>
      <w:rPr>
        <w:rFonts w:ascii="Arial" w:hAnsi="Arial" w:hint="default"/>
      </w:rPr>
    </w:lvl>
    <w:lvl w:ilvl="7" w:tplc="0E80C386" w:tentative="1">
      <w:start w:val="1"/>
      <w:numFmt w:val="bullet"/>
      <w:lvlText w:val="•"/>
      <w:lvlJc w:val="left"/>
      <w:pPr>
        <w:tabs>
          <w:tab w:val="num" w:pos="5760"/>
        </w:tabs>
        <w:ind w:left="5760" w:hanging="360"/>
      </w:pPr>
      <w:rPr>
        <w:rFonts w:ascii="Arial" w:hAnsi="Arial" w:hint="default"/>
      </w:rPr>
    </w:lvl>
    <w:lvl w:ilvl="8" w:tplc="9F167D0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46E2A1A"/>
    <w:multiLevelType w:val="hybridMultilevel"/>
    <w:tmpl w:val="4DE48DB6"/>
    <w:lvl w:ilvl="0" w:tplc="DD083E88">
      <w:start w:val="1"/>
      <w:numFmt w:val="lowerLetter"/>
      <w:lvlText w:val="10.%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3648263D"/>
    <w:multiLevelType w:val="multilevel"/>
    <w:tmpl w:val="6068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CF0D68"/>
    <w:multiLevelType w:val="hybridMultilevel"/>
    <w:tmpl w:val="FD6EEC32"/>
    <w:lvl w:ilvl="0" w:tplc="C5EED91E">
      <w:start w:val="1"/>
      <w:numFmt w:val="bullet"/>
      <w:lvlText w:val="•"/>
      <w:lvlJc w:val="left"/>
      <w:pPr>
        <w:tabs>
          <w:tab w:val="num" w:pos="720"/>
        </w:tabs>
        <w:ind w:left="720" w:hanging="360"/>
      </w:pPr>
      <w:rPr>
        <w:rFonts w:ascii="Arial" w:hAnsi="Arial" w:hint="default"/>
      </w:rPr>
    </w:lvl>
    <w:lvl w:ilvl="1" w:tplc="0FDCF050" w:tentative="1">
      <w:start w:val="1"/>
      <w:numFmt w:val="bullet"/>
      <w:lvlText w:val="•"/>
      <w:lvlJc w:val="left"/>
      <w:pPr>
        <w:tabs>
          <w:tab w:val="num" w:pos="1440"/>
        </w:tabs>
        <w:ind w:left="1440" w:hanging="360"/>
      </w:pPr>
      <w:rPr>
        <w:rFonts w:ascii="Arial" w:hAnsi="Arial" w:hint="default"/>
      </w:rPr>
    </w:lvl>
    <w:lvl w:ilvl="2" w:tplc="E97CE082">
      <w:start w:val="1"/>
      <w:numFmt w:val="bullet"/>
      <w:lvlText w:val="•"/>
      <w:lvlJc w:val="left"/>
      <w:pPr>
        <w:tabs>
          <w:tab w:val="num" w:pos="2160"/>
        </w:tabs>
        <w:ind w:left="2160" w:hanging="360"/>
      </w:pPr>
      <w:rPr>
        <w:rFonts w:ascii="Arial" w:hAnsi="Arial" w:hint="default"/>
      </w:rPr>
    </w:lvl>
    <w:lvl w:ilvl="3" w:tplc="91B2D978" w:tentative="1">
      <w:start w:val="1"/>
      <w:numFmt w:val="bullet"/>
      <w:lvlText w:val="•"/>
      <w:lvlJc w:val="left"/>
      <w:pPr>
        <w:tabs>
          <w:tab w:val="num" w:pos="2880"/>
        </w:tabs>
        <w:ind w:left="2880" w:hanging="360"/>
      </w:pPr>
      <w:rPr>
        <w:rFonts w:ascii="Arial" w:hAnsi="Arial" w:hint="default"/>
      </w:rPr>
    </w:lvl>
    <w:lvl w:ilvl="4" w:tplc="5D14550A" w:tentative="1">
      <w:start w:val="1"/>
      <w:numFmt w:val="bullet"/>
      <w:lvlText w:val="•"/>
      <w:lvlJc w:val="left"/>
      <w:pPr>
        <w:tabs>
          <w:tab w:val="num" w:pos="3600"/>
        </w:tabs>
        <w:ind w:left="3600" w:hanging="360"/>
      </w:pPr>
      <w:rPr>
        <w:rFonts w:ascii="Arial" w:hAnsi="Arial" w:hint="default"/>
      </w:rPr>
    </w:lvl>
    <w:lvl w:ilvl="5" w:tplc="B9E65FAE" w:tentative="1">
      <w:start w:val="1"/>
      <w:numFmt w:val="bullet"/>
      <w:lvlText w:val="•"/>
      <w:lvlJc w:val="left"/>
      <w:pPr>
        <w:tabs>
          <w:tab w:val="num" w:pos="4320"/>
        </w:tabs>
        <w:ind w:left="4320" w:hanging="360"/>
      </w:pPr>
      <w:rPr>
        <w:rFonts w:ascii="Arial" w:hAnsi="Arial" w:hint="default"/>
      </w:rPr>
    </w:lvl>
    <w:lvl w:ilvl="6" w:tplc="0396C8D8" w:tentative="1">
      <w:start w:val="1"/>
      <w:numFmt w:val="bullet"/>
      <w:lvlText w:val="•"/>
      <w:lvlJc w:val="left"/>
      <w:pPr>
        <w:tabs>
          <w:tab w:val="num" w:pos="5040"/>
        </w:tabs>
        <w:ind w:left="5040" w:hanging="360"/>
      </w:pPr>
      <w:rPr>
        <w:rFonts w:ascii="Arial" w:hAnsi="Arial" w:hint="default"/>
      </w:rPr>
    </w:lvl>
    <w:lvl w:ilvl="7" w:tplc="B2ECA0E2" w:tentative="1">
      <w:start w:val="1"/>
      <w:numFmt w:val="bullet"/>
      <w:lvlText w:val="•"/>
      <w:lvlJc w:val="left"/>
      <w:pPr>
        <w:tabs>
          <w:tab w:val="num" w:pos="5760"/>
        </w:tabs>
        <w:ind w:left="5760" w:hanging="360"/>
      </w:pPr>
      <w:rPr>
        <w:rFonts w:ascii="Arial" w:hAnsi="Arial" w:hint="default"/>
      </w:rPr>
    </w:lvl>
    <w:lvl w:ilvl="8" w:tplc="A702665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A93505B"/>
    <w:multiLevelType w:val="hybridMultilevel"/>
    <w:tmpl w:val="C23864BC"/>
    <w:lvl w:ilvl="0" w:tplc="C5443DD4">
      <w:start w:val="1"/>
      <w:numFmt w:val="lowerLetter"/>
      <w:lvlText w:val="1.%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3ACC60C8"/>
    <w:multiLevelType w:val="multilevel"/>
    <w:tmpl w:val="66DC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684140"/>
    <w:multiLevelType w:val="hybridMultilevel"/>
    <w:tmpl w:val="BC465C74"/>
    <w:lvl w:ilvl="0" w:tplc="D39E0B24">
      <w:start w:val="1"/>
      <w:numFmt w:val="lowerLetter"/>
      <w:lvlText w:val="4.%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3BB4325D"/>
    <w:multiLevelType w:val="multilevel"/>
    <w:tmpl w:val="C020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227491"/>
    <w:multiLevelType w:val="multilevel"/>
    <w:tmpl w:val="83F85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5200F3"/>
    <w:multiLevelType w:val="hybridMultilevel"/>
    <w:tmpl w:val="9864E2CE"/>
    <w:lvl w:ilvl="0" w:tplc="19A092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431B03"/>
    <w:multiLevelType w:val="hybridMultilevel"/>
    <w:tmpl w:val="CD583CFA"/>
    <w:lvl w:ilvl="0" w:tplc="A4C82586">
      <w:start w:val="1"/>
      <w:numFmt w:val="decimal"/>
      <w:lvlText w:val="%1."/>
      <w:lvlJc w:val="left"/>
      <w:pPr>
        <w:tabs>
          <w:tab w:val="num" w:pos="720"/>
        </w:tabs>
        <w:ind w:left="720" w:hanging="360"/>
      </w:pPr>
    </w:lvl>
    <w:lvl w:ilvl="1" w:tplc="0114D71C">
      <w:start w:val="1"/>
      <w:numFmt w:val="decimal"/>
      <w:lvlText w:val="%2."/>
      <w:lvlJc w:val="left"/>
      <w:pPr>
        <w:tabs>
          <w:tab w:val="num" w:pos="1440"/>
        </w:tabs>
        <w:ind w:left="1440" w:hanging="360"/>
      </w:pPr>
    </w:lvl>
    <w:lvl w:ilvl="2" w:tplc="F56A9738" w:tentative="1">
      <w:start w:val="1"/>
      <w:numFmt w:val="decimal"/>
      <w:lvlText w:val="%3."/>
      <w:lvlJc w:val="left"/>
      <w:pPr>
        <w:tabs>
          <w:tab w:val="num" w:pos="2160"/>
        </w:tabs>
        <w:ind w:left="2160" w:hanging="360"/>
      </w:pPr>
    </w:lvl>
    <w:lvl w:ilvl="3" w:tplc="B21EE112" w:tentative="1">
      <w:start w:val="1"/>
      <w:numFmt w:val="decimal"/>
      <w:lvlText w:val="%4."/>
      <w:lvlJc w:val="left"/>
      <w:pPr>
        <w:tabs>
          <w:tab w:val="num" w:pos="2880"/>
        </w:tabs>
        <w:ind w:left="2880" w:hanging="360"/>
      </w:pPr>
    </w:lvl>
    <w:lvl w:ilvl="4" w:tplc="FA926DF4" w:tentative="1">
      <w:start w:val="1"/>
      <w:numFmt w:val="decimal"/>
      <w:lvlText w:val="%5."/>
      <w:lvlJc w:val="left"/>
      <w:pPr>
        <w:tabs>
          <w:tab w:val="num" w:pos="3600"/>
        </w:tabs>
        <w:ind w:left="3600" w:hanging="360"/>
      </w:pPr>
    </w:lvl>
    <w:lvl w:ilvl="5" w:tplc="8C4264A6" w:tentative="1">
      <w:start w:val="1"/>
      <w:numFmt w:val="decimal"/>
      <w:lvlText w:val="%6."/>
      <w:lvlJc w:val="left"/>
      <w:pPr>
        <w:tabs>
          <w:tab w:val="num" w:pos="4320"/>
        </w:tabs>
        <w:ind w:left="4320" w:hanging="360"/>
      </w:pPr>
    </w:lvl>
    <w:lvl w:ilvl="6" w:tplc="9C96C3F2" w:tentative="1">
      <w:start w:val="1"/>
      <w:numFmt w:val="decimal"/>
      <w:lvlText w:val="%7."/>
      <w:lvlJc w:val="left"/>
      <w:pPr>
        <w:tabs>
          <w:tab w:val="num" w:pos="5040"/>
        </w:tabs>
        <w:ind w:left="5040" w:hanging="360"/>
      </w:pPr>
    </w:lvl>
    <w:lvl w:ilvl="7" w:tplc="AE9AC832" w:tentative="1">
      <w:start w:val="1"/>
      <w:numFmt w:val="decimal"/>
      <w:lvlText w:val="%8."/>
      <w:lvlJc w:val="left"/>
      <w:pPr>
        <w:tabs>
          <w:tab w:val="num" w:pos="5760"/>
        </w:tabs>
        <w:ind w:left="5760" w:hanging="360"/>
      </w:pPr>
    </w:lvl>
    <w:lvl w:ilvl="8" w:tplc="AC306010" w:tentative="1">
      <w:start w:val="1"/>
      <w:numFmt w:val="decimal"/>
      <w:lvlText w:val="%9."/>
      <w:lvlJc w:val="left"/>
      <w:pPr>
        <w:tabs>
          <w:tab w:val="num" w:pos="6480"/>
        </w:tabs>
        <w:ind w:left="6480" w:hanging="360"/>
      </w:pPr>
    </w:lvl>
  </w:abstractNum>
  <w:abstractNum w:abstractNumId="31" w15:restartNumberingAfterBreak="0">
    <w:nsid w:val="482E4BB8"/>
    <w:multiLevelType w:val="multilevel"/>
    <w:tmpl w:val="2C86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DB2BF8"/>
    <w:multiLevelType w:val="hybridMultilevel"/>
    <w:tmpl w:val="7E785E18"/>
    <w:lvl w:ilvl="0" w:tplc="3A88F2C6">
      <w:start w:val="1"/>
      <w:numFmt w:val="lowerLetter"/>
      <w:lvlText w:val="5.%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4C190DA7"/>
    <w:multiLevelType w:val="hybridMultilevel"/>
    <w:tmpl w:val="EFD68A90"/>
    <w:lvl w:ilvl="0" w:tplc="289C50BC">
      <w:start w:val="1"/>
      <w:numFmt w:val="bullet"/>
      <w:lvlText w:val="•"/>
      <w:lvlJc w:val="left"/>
      <w:pPr>
        <w:tabs>
          <w:tab w:val="num" w:pos="720"/>
        </w:tabs>
        <w:ind w:left="720" w:hanging="360"/>
      </w:pPr>
      <w:rPr>
        <w:rFonts w:ascii="Arial" w:hAnsi="Arial" w:hint="default"/>
      </w:rPr>
    </w:lvl>
    <w:lvl w:ilvl="1" w:tplc="A7B68AD4" w:tentative="1">
      <w:start w:val="1"/>
      <w:numFmt w:val="bullet"/>
      <w:lvlText w:val="•"/>
      <w:lvlJc w:val="left"/>
      <w:pPr>
        <w:tabs>
          <w:tab w:val="num" w:pos="1440"/>
        </w:tabs>
        <w:ind w:left="1440" w:hanging="360"/>
      </w:pPr>
      <w:rPr>
        <w:rFonts w:ascii="Arial" w:hAnsi="Arial" w:hint="default"/>
      </w:rPr>
    </w:lvl>
    <w:lvl w:ilvl="2" w:tplc="64768148">
      <w:start w:val="1"/>
      <w:numFmt w:val="bullet"/>
      <w:lvlText w:val="•"/>
      <w:lvlJc w:val="left"/>
      <w:pPr>
        <w:tabs>
          <w:tab w:val="num" w:pos="2160"/>
        </w:tabs>
        <w:ind w:left="2160" w:hanging="360"/>
      </w:pPr>
      <w:rPr>
        <w:rFonts w:ascii="Arial" w:hAnsi="Arial" w:hint="default"/>
      </w:rPr>
    </w:lvl>
    <w:lvl w:ilvl="3" w:tplc="12B88A60" w:tentative="1">
      <w:start w:val="1"/>
      <w:numFmt w:val="bullet"/>
      <w:lvlText w:val="•"/>
      <w:lvlJc w:val="left"/>
      <w:pPr>
        <w:tabs>
          <w:tab w:val="num" w:pos="2880"/>
        </w:tabs>
        <w:ind w:left="2880" w:hanging="360"/>
      </w:pPr>
      <w:rPr>
        <w:rFonts w:ascii="Arial" w:hAnsi="Arial" w:hint="default"/>
      </w:rPr>
    </w:lvl>
    <w:lvl w:ilvl="4" w:tplc="EB4C6906" w:tentative="1">
      <w:start w:val="1"/>
      <w:numFmt w:val="bullet"/>
      <w:lvlText w:val="•"/>
      <w:lvlJc w:val="left"/>
      <w:pPr>
        <w:tabs>
          <w:tab w:val="num" w:pos="3600"/>
        </w:tabs>
        <w:ind w:left="3600" w:hanging="360"/>
      </w:pPr>
      <w:rPr>
        <w:rFonts w:ascii="Arial" w:hAnsi="Arial" w:hint="default"/>
      </w:rPr>
    </w:lvl>
    <w:lvl w:ilvl="5" w:tplc="7F0EBA4E" w:tentative="1">
      <w:start w:val="1"/>
      <w:numFmt w:val="bullet"/>
      <w:lvlText w:val="•"/>
      <w:lvlJc w:val="left"/>
      <w:pPr>
        <w:tabs>
          <w:tab w:val="num" w:pos="4320"/>
        </w:tabs>
        <w:ind w:left="4320" w:hanging="360"/>
      </w:pPr>
      <w:rPr>
        <w:rFonts w:ascii="Arial" w:hAnsi="Arial" w:hint="default"/>
      </w:rPr>
    </w:lvl>
    <w:lvl w:ilvl="6" w:tplc="C8A4D32A" w:tentative="1">
      <w:start w:val="1"/>
      <w:numFmt w:val="bullet"/>
      <w:lvlText w:val="•"/>
      <w:lvlJc w:val="left"/>
      <w:pPr>
        <w:tabs>
          <w:tab w:val="num" w:pos="5040"/>
        </w:tabs>
        <w:ind w:left="5040" w:hanging="360"/>
      </w:pPr>
      <w:rPr>
        <w:rFonts w:ascii="Arial" w:hAnsi="Arial" w:hint="default"/>
      </w:rPr>
    </w:lvl>
    <w:lvl w:ilvl="7" w:tplc="A3403E2E" w:tentative="1">
      <w:start w:val="1"/>
      <w:numFmt w:val="bullet"/>
      <w:lvlText w:val="•"/>
      <w:lvlJc w:val="left"/>
      <w:pPr>
        <w:tabs>
          <w:tab w:val="num" w:pos="5760"/>
        </w:tabs>
        <w:ind w:left="5760" w:hanging="360"/>
      </w:pPr>
      <w:rPr>
        <w:rFonts w:ascii="Arial" w:hAnsi="Arial" w:hint="default"/>
      </w:rPr>
    </w:lvl>
    <w:lvl w:ilvl="8" w:tplc="BFEC7AD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F553FD0"/>
    <w:multiLevelType w:val="multilevel"/>
    <w:tmpl w:val="AA4A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F775B2D"/>
    <w:multiLevelType w:val="multilevel"/>
    <w:tmpl w:val="129EB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B01E16"/>
    <w:multiLevelType w:val="hybridMultilevel"/>
    <w:tmpl w:val="7F9260FC"/>
    <w:lvl w:ilvl="0" w:tplc="70E433E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522C50"/>
    <w:multiLevelType w:val="multilevel"/>
    <w:tmpl w:val="8134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350054"/>
    <w:multiLevelType w:val="multilevel"/>
    <w:tmpl w:val="716A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B44ADA"/>
    <w:multiLevelType w:val="hybridMultilevel"/>
    <w:tmpl w:val="FFFFFFFF"/>
    <w:lvl w:ilvl="0" w:tplc="FFFFFFFF">
      <w:start w:val="1"/>
      <w:numFmt w:val="decimal"/>
      <w:lvlText w:val="%1."/>
      <w:lvlJc w:val="left"/>
      <w:pPr>
        <w:ind w:left="5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60B67673"/>
    <w:multiLevelType w:val="multilevel"/>
    <w:tmpl w:val="AE3495A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EastAsia"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BA2509"/>
    <w:multiLevelType w:val="hybridMultilevel"/>
    <w:tmpl w:val="1DE074E0"/>
    <w:lvl w:ilvl="0" w:tplc="6048FD1C">
      <w:start w:val="1"/>
      <w:numFmt w:val="lowerLetter"/>
      <w:lvlText w:val="9.%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65610FAA"/>
    <w:multiLevelType w:val="multilevel"/>
    <w:tmpl w:val="1F94F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D92DA9"/>
    <w:multiLevelType w:val="multilevel"/>
    <w:tmpl w:val="C51C5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226D21"/>
    <w:multiLevelType w:val="multilevel"/>
    <w:tmpl w:val="ADC8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C733F2C"/>
    <w:multiLevelType w:val="hybridMultilevel"/>
    <w:tmpl w:val="5A447E74"/>
    <w:lvl w:ilvl="0" w:tplc="BF5A592C">
      <w:start w:val="1"/>
      <w:numFmt w:val="bullet"/>
      <w:lvlText w:val="•"/>
      <w:lvlJc w:val="left"/>
      <w:pPr>
        <w:tabs>
          <w:tab w:val="num" w:pos="720"/>
        </w:tabs>
        <w:ind w:left="720" w:hanging="360"/>
      </w:pPr>
      <w:rPr>
        <w:rFonts w:ascii="Arial" w:hAnsi="Arial" w:hint="default"/>
      </w:rPr>
    </w:lvl>
    <w:lvl w:ilvl="1" w:tplc="478E9052" w:tentative="1">
      <w:start w:val="1"/>
      <w:numFmt w:val="bullet"/>
      <w:lvlText w:val="•"/>
      <w:lvlJc w:val="left"/>
      <w:pPr>
        <w:tabs>
          <w:tab w:val="num" w:pos="1440"/>
        </w:tabs>
        <w:ind w:left="1440" w:hanging="360"/>
      </w:pPr>
      <w:rPr>
        <w:rFonts w:ascii="Arial" w:hAnsi="Arial" w:hint="default"/>
      </w:rPr>
    </w:lvl>
    <w:lvl w:ilvl="2" w:tplc="34062D1A">
      <w:start w:val="1"/>
      <w:numFmt w:val="bullet"/>
      <w:lvlText w:val="•"/>
      <w:lvlJc w:val="left"/>
      <w:pPr>
        <w:tabs>
          <w:tab w:val="num" w:pos="2160"/>
        </w:tabs>
        <w:ind w:left="2160" w:hanging="360"/>
      </w:pPr>
      <w:rPr>
        <w:rFonts w:ascii="Arial" w:hAnsi="Arial" w:hint="default"/>
      </w:rPr>
    </w:lvl>
    <w:lvl w:ilvl="3" w:tplc="9CA28CC0" w:tentative="1">
      <w:start w:val="1"/>
      <w:numFmt w:val="bullet"/>
      <w:lvlText w:val="•"/>
      <w:lvlJc w:val="left"/>
      <w:pPr>
        <w:tabs>
          <w:tab w:val="num" w:pos="2880"/>
        </w:tabs>
        <w:ind w:left="2880" w:hanging="360"/>
      </w:pPr>
      <w:rPr>
        <w:rFonts w:ascii="Arial" w:hAnsi="Arial" w:hint="default"/>
      </w:rPr>
    </w:lvl>
    <w:lvl w:ilvl="4" w:tplc="2752C4A8" w:tentative="1">
      <w:start w:val="1"/>
      <w:numFmt w:val="bullet"/>
      <w:lvlText w:val="•"/>
      <w:lvlJc w:val="left"/>
      <w:pPr>
        <w:tabs>
          <w:tab w:val="num" w:pos="3600"/>
        </w:tabs>
        <w:ind w:left="3600" w:hanging="360"/>
      </w:pPr>
      <w:rPr>
        <w:rFonts w:ascii="Arial" w:hAnsi="Arial" w:hint="default"/>
      </w:rPr>
    </w:lvl>
    <w:lvl w:ilvl="5" w:tplc="1A3A7C2C" w:tentative="1">
      <w:start w:val="1"/>
      <w:numFmt w:val="bullet"/>
      <w:lvlText w:val="•"/>
      <w:lvlJc w:val="left"/>
      <w:pPr>
        <w:tabs>
          <w:tab w:val="num" w:pos="4320"/>
        </w:tabs>
        <w:ind w:left="4320" w:hanging="360"/>
      </w:pPr>
      <w:rPr>
        <w:rFonts w:ascii="Arial" w:hAnsi="Arial" w:hint="default"/>
      </w:rPr>
    </w:lvl>
    <w:lvl w:ilvl="6" w:tplc="1D244C1A" w:tentative="1">
      <w:start w:val="1"/>
      <w:numFmt w:val="bullet"/>
      <w:lvlText w:val="•"/>
      <w:lvlJc w:val="left"/>
      <w:pPr>
        <w:tabs>
          <w:tab w:val="num" w:pos="5040"/>
        </w:tabs>
        <w:ind w:left="5040" w:hanging="360"/>
      </w:pPr>
      <w:rPr>
        <w:rFonts w:ascii="Arial" w:hAnsi="Arial" w:hint="default"/>
      </w:rPr>
    </w:lvl>
    <w:lvl w:ilvl="7" w:tplc="DDAA6F54" w:tentative="1">
      <w:start w:val="1"/>
      <w:numFmt w:val="bullet"/>
      <w:lvlText w:val="•"/>
      <w:lvlJc w:val="left"/>
      <w:pPr>
        <w:tabs>
          <w:tab w:val="num" w:pos="5760"/>
        </w:tabs>
        <w:ind w:left="5760" w:hanging="360"/>
      </w:pPr>
      <w:rPr>
        <w:rFonts w:ascii="Arial" w:hAnsi="Arial" w:hint="default"/>
      </w:rPr>
    </w:lvl>
    <w:lvl w:ilvl="8" w:tplc="4B160F1C"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C7D4034"/>
    <w:multiLevelType w:val="multilevel"/>
    <w:tmpl w:val="945C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B13ADE"/>
    <w:multiLevelType w:val="hybridMultilevel"/>
    <w:tmpl w:val="1D3CE996"/>
    <w:lvl w:ilvl="0" w:tplc="A73C1538">
      <w:start w:val="1"/>
      <w:numFmt w:val="bullet"/>
      <w:lvlText w:val="•"/>
      <w:lvlJc w:val="left"/>
      <w:pPr>
        <w:tabs>
          <w:tab w:val="num" w:pos="720"/>
        </w:tabs>
        <w:ind w:left="720" w:hanging="360"/>
      </w:pPr>
      <w:rPr>
        <w:rFonts w:ascii="Arial" w:hAnsi="Arial" w:hint="default"/>
      </w:rPr>
    </w:lvl>
    <w:lvl w:ilvl="1" w:tplc="610A4C9E" w:tentative="1">
      <w:start w:val="1"/>
      <w:numFmt w:val="bullet"/>
      <w:lvlText w:val="•"/>
      <w:lvlJc w:val="left"/>
      <w:pPr>
        <w:tabs>
          <w:tab w:val="num" w:pos="1440"/>
        </w:tabs>
        <w:ind w:left="1440" w:hanging="360"/>
      </w:pPr>
      <w:rPr>
        <w:rFonts w:ascii="Arial" w:hAnsi="Arial" w:hint="default"/>
      </w:rPr>
    </w:lvl>
    <w:lvl w:ilvl="2" w:tplc="CA6648DC">
      <w:start w:val="1"/>
      <w:numFmt w:val="bullet"/>
      <w:lvlText w:val="•"/>
      <w:lvlJc w:val="left"/>
      <w:pPr>
        <w:tabs>
          <w:tab w:val="num" w:pos="2160"/>
        </w:tabs>
        <w:ind w:left="2160" w:hanging="360"/>
      </w:pPr>
      <w:rPr>
        <w:rFonts w:ascii="Arial" w:hAnsi="Arial" w:hint="default"/>
      </w:rPr>
    </w:lvl>
    <w:lvl w:ilvl="3" w:tplc="92764688" w:tentative="1">
      <w:start w:val="1"/>
      <w:numFmt w:val="bullet"/>
      <w:lvlText w:val="•"/>
      <w:lvlJc w:val="left"/>
      <w:pPr>
        <w:tabs>
          <w:tab w:val="num" w:pos="2880"/>
        </w:tabs>
        <w:ind w:left="2880" w:hanging="360"/>
      </w:pPr>
      <w:rPr>
        <w:rFonts w:ascii="Arial" w:hAnsi="Arial" w:hint="default"/>
      </w:rPr>
    </w:lvl>
    <w:lvl w:ilvl="4" w:tplc="3C9CA92E" w:tentative="1">
      <w:start w:val="1"/>
      <w:numFmt w:val="bullet"/>
      <w:lvlText w:val="•"/>
      <w:lvlJc w:val="left"/>
      <w:pPr>
        <w:tabs>
          <w:tab w:val="num" w:pos="3600"/>
        </w:tabs>
        <w:ind w:left="3600" w:hanging="360"/>
      </w:pPr>
      <w:rPr>
        <w:rFonts w:ascii="Arial" w:hAnsi="Arial" w:hint="default"/>
      </w:rPr>
    </w:lvl>
    <w:lvl w:ilvl="5" w:tplc="B634695E" w:tentative="1">
      <w:start w:val="1"/>
      <w:numFmt w:val="bullet"/>
      <w:lvlText w:val="•"/>
      <w:lvlJc w:val="left"/>
      <w:pPr>
        <w:tabs>
          <w:tab w:val="num" w:pos="4320"/>
        </w:tabs>
        <w:ind w:left="4320" w:hanging="360"/>
      </w:pPr>
      <w:rPr>
        <w:rFonts w:ascii="Arial" w:hAnsi="Arial" w:hint="default"/>
      </w:rPr>
    </w:lvl>
    <w:lvl w:ilvl="6" w:tplc="92A43E06" w:tentative="1">
      <w:start w:val="1"/>
      <w:numFmt w:val="bullet"/>
      <w:lvlText w:val="•"/>
      <w:lvlJc w:val="left"/>
      <w:pPr>
        <w:tabs>
          <w:tab w:val="num" w:pos="5040"/>
        </w:tabs>
        <w:ind w:left="5040" w:hanging="360"/>
      </w:pPr>
      <w:rPr>
        <w:rFonts w:ascii="Arial" w:hAnsi="Arial" w:hint="default"/>
      </w:rPr>
    </w:lvl>
    <w:lvl w:ilvl="7" w:tplc="EA82259E" w:tentative="1">
      <w:start w:val="1"/>
      <w:numFmt w:val="bullet"/>
      <w:lvlText w:val="•"/>
      <w:lvlJc w:val="left"/>
      <w:pPr>
        <w:tabs>
          <w:tab w:val="num" w:pos="5760"/>
        </w:tabs>
        <w:ind w:left="5760" w:hanging="360"/>
      </w:pPr>
      <w:rPr>
        <w:rFonts w:ascii="Arial" w:hAnsi="Arial" w:hint="default"/>
      </w:rPr>
    </w:lvl>
    <w:lvl w:ilvl="8" w:tplc="81C6E616"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CCC6F20"/>
    <w:multiLevelType w:val="multilevel"/>
    <w:tmpl w:val="FF561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E465C2"/>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1911371">
    <w:abstractNumId w:val="30"/>
  </w:num>
  <w:num w:numId="2" w16cid:durableId="2102338875">
    <w:abstractNumId w:val="11"/>
  </w:num>
  <w:num w:numId="3" w16cid:durableId="1579485932">
    <w:abstractNumId w:val="9"/>
  </w:num>
  <w:num w:numId="4" w16cid:durableId="1679649011">
    <w:abstractNumId w:val="49"/>
  </w:num>
  <w:num w:numId="5" w16cid:durableId="560210571">
    <w:abstractNumId w:val="31"/>
  </w:num>
  <w:num w:numId="6" w16cid:durableId="1715080142">
    <w:abstractNumId w:val="40"/>
  </w:num>
  <w:num w:numId="7" w16cid:durableId="1032530826">
    <w:abstractNumId w:val="35"/>
  </w:num>
  <w:num w:numId="8" w16cid:durableId="268246026">
    <w:abstractNumId w:val="13"/>
  </w:num>
  <w:num w:numId="9" w16cid:durableId="1624143981">
    <w:abstractNumId w:val="8"/>
  </w:num>
  <w:num w:numId="10" w16cid:durableId="175460400">
    <w:abstractNumId w:val="6"/>
  </w:num>
  <w:num w:numId="11" w16cid:durableId="669337580">
    <w:abstractNumId w:val="7"/>
  </w:num>
  <w:num w:numId="12" w16cid:durableId="1318998634">
    <w:abstractNumId w:val="18"/>
  </w:num>
  <w:num w:numId="13" w16cid:durableId="1290165231">
    <w:abstractNumId w:val="2"/>
  </w:num>
  <w:num w:numId="14" w16cid:durableId="666519971">
    <w:abstractNumId w:val="28"/>
  </w:num>
  <w:num w:numId="15" w16cid:durableId="158932099">
    <w:abstractNumId w:val="43"/>
  </w:num>
  <w:num w:numId="16" w16cid:durableId="861631507">
    <w:abstractNumId w:val="17"/>
  </w:num>
  <w:num w:numId="17" w16cid:durableId="1210726782">
    <w:abstractNumId w:val="37"/>
  </w:num>
  <w:num w:numId="18" w16cid:durableId="385181020">
    <w:abstractNumId w:val="1"/>
  </w:num>
  <w:num w:numId="19" w16cid:durableId="1039627306">
    <w:abstractNumId w:val="44"/>
  </w:num>
  <w:num w:numId="20" w16cid:durableId="521553230">
    <w:abstractNumId w:val="3"/>
  </w:num>
  <w:num w:numId="21" w16cid:durableId="878397292">
    <w:abstractNumId w:val="36"/>
  </w:num>
  <w:num w:numId="22" w16cid:durableId="278534768">
    <w:abstractNumId w:val="29"/>
  </w:num>
  <w:num w:numId="23" w16cid:durableId="705522269">
    <w:abstractNumId w:val="22"/>
  </w:num>
  <w:num w:numId="24" w16cid:durableId="1568304286">
    <w:abstractNumId w:val="34"/>
  </w:num>
  <w:num w:numId="25" w16cid:durableId="1656298921">
    <w:abstractNumId w:val="16"/>
  </w:num>
  <w:num w:numId="26" w16cid:durableId="1826311487">
    <w:abstractNumId w:val="12"/>
  </w:num>
  <w:num w:numId="27" w16cid:durableId="1860925022">
    <w:abstractNumId w:val="25"/>
  </w:num>
  <w:num w:numId="28" w16cid:durableId="999235684">
    <w:abstractNumId w:val="38"/>
  </w:num>
  <w:num w:numId="29" w16cid:durableId="1314329911">
    <w:abstractNumId w:val="24"/>
  </w:num>
  <w:num w:numId="30" w16cid:durableId="1778410000">
    <w:abstractNumId w:val="5"/>
  </w:num>
  <w:num w:numId="31" w16cid:durableId="796143243">
    <w:abstractNumId w:val="14"/>
  </w:num>
  <w:num w:numId="32" w16cid:durableId="1260486356">
    <w:abstractNumId w:val="26"/>
  </w:num>
  <w:num w:numId="33" w16cid:durableId="1066563797">
    <w:abstractNumId w:val="32"/>
  </w:num>
  <w:num w:numId="34" w16cid:durableId="1364936774">
    <w:abstractNumId w:val="15"/>
  </w:num>
  <w:num w:numId="35" w16cid:durableId="1808624954">
    <w:abstractNumId w:val="0"/>
  </w:num>
  <w:num w:numId="36" w16cid:durableId="1238707760">
    <w:abstractNumId w:val="4"/>
  </w:num>
  <w:num w:numId="37" w16cid:durableId="232550214">
    <w:abstractNumId w:val="41"/>
  </w:num>
  <w:num w:numId="38" w16cid:durableId="4598709">
    <w:abstractNumId w:val="21"/>
  </w:num>
  <w:num w:numId="39" w16cid:durableId="274336616">
    <w:abstractNumId w:val="48"/>
  </w:num>
  <w:num w:numId="40" w16cid:durableId="933174379">
    <w:abstractNumId w:val="46"/>
  </w:num>
  <w:num w:numId="41" w16cid:durableId="46300910">
    <w:abstractNumId w:val="10"/>
  </w:num>
  <w:num w:numId="42" w16cid:durableId="1648171702">
    <w:abstractNumId w:val="23"/>
  </w:num>
  <w:num w:numId="43" w16cid:durableId="1424644349">
    <w:abstractNumId w:val="47"/>
  </w:num>
  <w:num w:numId="44" w16cid:durableId="2090230048">
    <w:abstractNumId w:val="20"/>
  </w:num>
  <w:num w:numId="45" w16cid:durableId="1068578926">
    <w:abstractNumId w:val="33"/>
  </w:num>
  <w:num w:numId="46" w16cid:durableId="883755163">
    <w:abstractNumId w:val="19"/>
  </w:num>
  <w:num w:numId="47" w16cid:durableId="738214361">
    <w:abstractNumId w:val="27"/>
  </w:num>
  <w:num w:numId="48" w16cid:durableId="1418744576">
    <w:abstractNumId w:val="42"/>
  </w:num>
  <w:num w:numId="49" w16cid:durableId="824786580">
    <w:abstractNumId w:val="45"/>
  </w:num>
  <w:num w:numId="50" w16cid:durableId="30568694">
    <w:abstractNumId w:val="39"/>
  </w:num>
  <w:num w:numId="51" w16cid:durableId="122063200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cwNjMxNTY3szC1MDNU0lEKTi0uzszPAykwrQUAOBADaCwAAAA="/>
  </w:docVars>
  <w:rsids>
    <w:rsidRoot w:val="006A059D"/>
    <w:rsid w:val="00000997"/>
    <w:rsid w:val="00000E7F"/>
    <w:rsid w:val="0000150C"/>
    <w:rsid w:val="000015B8"/>
    <w:rsid w:val="00001F9F"/>
    <w:rsid w:val="00002598"/>
    <w:rsid w:val="00002B5F"/>
    <w:rsid w:val="00002E1B"/>
    <w:rsid w:val="00003555"/>
    <w:rsid w:val="000036D4"/>
    <w:rsid w:val="00003A62"/>
    <w:rsid w:val="00003D4A"/>
    <w:rsid w:val="0000425A"/>
    <w:rsid w:val="00004291"/>
    <w:rsid w:val="000055FB"/>
    <w:rsid w:val="00005BE7"/>
    <w:rsid w:val="0000618B"/>
    <w:rsid w:val="000064FB"/>
    <w:rsid w:val="0000687C"/>
    <w:rsid w:val="0000732F"/>
    <w:rsid w:val="000075D3"/>
    <w:rsid w:val="000109C7"/>
    <w:rsid w:val="00011063"/>
    <w:rsid w:val="000110C4"/>
    <w:rsid w:val="000135D2"/>
    <w:rsid w:val="0001434B"/>
    <w:rsid w:val="00014547"/>
    <w:rsid w:val="00014E28"/>
    <w:rsid w:val="00015120"/>
    <w:rsid w:val="0001541F"/>
    <w:rsid w:val="00015944"/>
    <w:rsid w:val="000168D8"/>
    <w:rsid w:val="00016BC9"/>
    <w:rsid w:val="00016C0F"/>
    <w:rsid w:val="000203DF"/>
    <w:rsid w:val="00020B8D"/>
    <w:rsid w:val="000214AF"/>
    <w:rsid w:val="00022C1D"/>
    <w:rsid w:val="0002378D"/>
    <w:rsid w:val="00023B2A"/>
    <w:rsid w:val="00023CFE"/>
    <w:rsid w:val="00023D94"/>
    <w:rsid w:val="00024C75"/>
    <w:rsid w:val="00025462"/>
    <w:rsid w:val="00025EA9"/>
    <w:rsid w:val="000269B5"/>
    <w:rsid w:val="00026A1C"/>
    <w:rsid w:val="00030EDE"/>
    <w:rsid w:val="00031055"/>
    <w:rsid w:val="00031160"/>
    <w:rsid w:val="000311C7"/>
    <w:rsid w:val="00031B1E"/>
    <w:rsid w:val="00031FF7"/>
    <w:rsid w:val="00032549"/>
    <w:rsid w:val="000344CA"/>
    <w:rsid w:val="000352D6"/>
    <w:rsid w:val="00036849"/>
    <w:rsid w:val="00037B57"/>
    <w:rsid w:val="00037C13"/>
    <w:rsid w:val="00040740"/>
    <w:rsid w:val="00040B7B"/>
    <w:rsid w:val="000413B7"/>
    <w:rsid w:val="00041483"/>
    <w:rsid w:val="00041642"/>
    <w:rsid w:val="000417E5"/>
    <w:rsid w:val="00041BEA"/>
    <w:rsid w:val="00041FD1"/>
    <w:rsid w:val="00042282"/>
    <w:rsid w:val="00042774"/>
    <w:rsid w:val="0004330B"/>
    <w:rsid w:val="000444E3"/>
    <w:rsid w:val="00044B29"/>
    <w:rsid w:val="00044EF1"/>
    <w:rsid w:val="00045DC9"/>
    <w:rsid w:val="00045DD5"/>
    <w:rsid w:val="00046081"/>
    <w:rsid w:val="00046EDE"/>
    <w:rsid w:val="00047A64"/>
    <w:rsid w:val="0005156A"/>
    <w:rsid w:val="00051955"/>
    <w:rsid w:val="00051CD8"/>
    <w:rsid w:val="000520E4"/>
    <w:rsid w:val="00052451"/>
    <w:rsid w:val="00052971"/>
    <w:rsid w:val="00053E8C"/>
    <w:rsid w:val="000545E6"/>
    <w:rsid w:val="000558E3"/>
    <w:rsid w:val="0005638D"/>
    <w:rsid w:val="0005767C"/>
    <w:rsid w:val="0006080C"/>
    <w:rsid w:val="000611AA"/>
    <w:rsid w:val="00061799"/>
    <w:rsid w:val="0006261F"/>
    <w:rsid w:val="00062911"/>
    <w:rsid w:val="00063048"/>
    <w:rsid w:val="00063137"/>
    <w:rsid w:val="0006356A"/>
    <w:rsid w:val="00064DC9"/>
    <w:rsid w:val="0006673C"/>
    <w:rsid w:val="00067724"/>
    <w:rsid w:val="00067C84"/>
    <w:rsid w:val="00067FD8"/>
    <w:rsid w:val="00070113"/>
    <w:rsid w:val="000714C5"/>
    <w:rsid w:val="000717A8"/>
    <w:rsid w:val="000717F8"/>
    <w:rsid w:val="00071BC1"/>
    <w:rsid w:val="00071BD7"/>
    <w:rsid w:val="00072C39"/>
    <w:rsid w:val="00072F69"/>
    <w:rsid w:val="000742CC"/>
    <w:rsid w:val="000757FB"/>
    <w:rsid w:val="00077500"/>
    <w:rsid w:val="00080036"/>
    <w:rsid w:val="000800E4"/>
    <w:rsid w:val="00080A46"/>
    <w:rsid w:val="00080C94"/>
    <w:rsid w:val="00081772"/>
    <w:rsid w:val="000818E7"/>
    <w:rsid w:val="00081E17"/>
    <w:rsid w:val="000830D6"/>
    <w:rsid w:val="000842DD"/>
    <w:rsid w:val="00084EF7"/>
    <w:rsid w:val="0008549D"/>
    <w:rsid w:val="00085DE4"/>
    <w:rsid w:val="00085FA2"/>
    <w:rsid w:val="00086C09"/>
    <w:rsid w:val="0008737A"/>
    <w:rsid w:val="00090024"/>
    <w:rsid w:val="00090952"/>
    <w:rsid w:val="00091EED"/>
    <w:rsid w:val="000932D0"/>
    <w:rsid w:val="000934DB"/>
    <w:rsid w:val="000936CC"/>
    <w:rsid w:val="000937E7"/>
    <w:rsid w:val="00093D15"/>
    <w:rsid w:val="0009428F"/>
    <w:rsid w:val="00095862"/>
    <w:rsid w:val="00095EFE"/>
    <w:rsid w:val="00096EA8"/>
    <w:rsid w:val="00097860"/>
    <w:rsid w:val="00097B10"/>
    <w:rsid w:val="000A03C1"/>
    <w:rsid w:val="000A04C1"/>
    <w:rsid w:val="000A06BB"/>
    <w:rsid w:val="000A120B"/>
    <w:rsid w:val="000A1823"/>
    <w:rsid w:val="000A1BB4"/>
    <w:rsid w:val="000A1BB7"/>
    <w:rsid w:val="000A2433"/>
    <w:rsid w:val="000A2530"/>
    <w:rsid w:val="000A2DD0"/>
    <w:rsid w:val="000A3781"/>
    <w:rsid w:val="000A444B"/>
    <w:rsid w:val="000A508E"/>
    <w:rsid w:val="000A5818"/>
    <w:rsid w:val="000A5A21"/>
    <w:rsid w:val="000A6400"/>
    <w:rsid w:val="000A6630"/>
    <w:rsid w:val="000A67F2"/>
    <w:rsid w:val="000A73F6"/>
    <w:rsid w:val="000B03CC"/>
    <w:rsid w:val="000B0A74"/>
    <w:rsid w:val="000B0B9A"/>
    <w:rsid w:val="000B135B"/>
    <w:rsid w:val="000B1B8E"/>
    <w:rsid w:val="000B1BE2"/>
    <w:rsid w:val="000B28E6"/>
    <w:rsid w:val="000B29F7"/>
    <w:rsid w:val="000B3579"/>
    <w:rsid w:val="000B4564"/>
    <w:rsid w:val="000B5183"/>
    <w:rsid w:val="000B51DD"/>
    <w:rsid w:val="000B549F"/>
    <w:rsid w:val="000B54F5"/>
    <w:rsid w:val="000B5732"/>
    <w:rsid w:val="000B5FC6"/>
    <w:rsid w:val="000B619F"/>
    <w:rsid w:val="000B6FFE"/>
    <w:rsid w:val="000B7EF8"/>
    <w:rsid w:val="000B7F11"/>
    <w:rsid w:val="000C0AE0"/>
    <w:rsid w:val="000C1634"/>
    <w:rsid w:val="000C40E0"/>
    <w:rsid w:val="000C42F9"/>
    <w:rsid w:val="000C4B40"/>
    <w:rsid w:val="000C5DDD"/>
    <w:rsid w:val="000C60CE"/>
    <w:rsid w:val="000C650C"/>
    <w:rsid w:val="000C759A"/>
    <w:rsid w:val="000C762F"/>
    <w:rsid w:val="000D0F53"/>
    <w:rsid w:val="000D2FDA"/>
    <w:rsid w:val="000D32DA"/>
    <w:rsid w:val="000D333E"/>
    <w:rsid w:val="000D3E15"/>
    <w:rsid w:val="000D44A8"/>
    <w:rsid w:val="000D54C8"/>
    <w:rsid w:val="000D5EA6"/>
    <w:rsid w:val="000D6528"/>
    <w:rsid w:val="000D6758"/>
    <w:rsid w:val="000D6B49"/>
    <w:rsid w:val="000D715D"/>
    <w:rsid w:val="000D756C"/>
    <w:rsid w:val="000D7AE5"/>
    <w:rsid w:val="000E00EF"/>
    <w:rsid w:val="000E0223"/>
    <w:rsid w:val="000E022D"/>
    <w:rsid w:val="000E0333"/>
    <w:rsid w:val="000E0A3C"/>
    <w:rsid w:val="000E1E5E"/>
    <w:rsid w:val="000E2090"/>
    <w:rsid w:val="000E311D"/>
    <w:rsid w:val="000E4AB6"/>
    <w:rsid w:val="000E50B2"/>
    <w:rsid w:val="000E54FF"/>
    <w:rsid w:val="000E5F21"/>
    <w:rsid w:val="000E6526"/>
    <w:rsid w:val="000E6E0D"/>
    <w:rsid w:val="000E7103"/>
    <w:rsid w:val="000E7910"/>
    <w:rsid w:val="000E7A29"/>
    <w:rsid w:val="000E7D09"/>
    <w:rsid w:val="000F01AB"/>
    <w:rsid w:val="000F05F7"/>
    <w:rsid w:val="000F136E"/>
    <w:rsid w:val="000F2243"/>
    <w:rsid w:val="000F2AA6"/>
    <w:rsid w:val="000F2EFE"/>
    <w:rsid w:val="000F4840"/>
    <w:rsid w:val="000F5DF5"/>
    <w:rsid w:val="000F6637"/>
    <w:rsid w:val="000F74E5"/>
    <w:rsid w:val="000F7635"/>
    <w:rsid w:val="000F796C"/>
    <w:rsid w:val="0010001A"/>
    <w:rsid w:val="00101577"/>
    <w:rsid w:val="001030F5"/>
    <w:rsid w:val="001034F4"/>
    <w:rsid w:val="0010375B"/>
    <w:rsid w:val="0010387D"/>
    <w:rsid w:val="00104445"/>
    <w:rsid w:val="00104D4C"/>
    <w:rsid w:val="00104EB6"/>
    <w:rsid w:val="0010520D"/>
    <w:rsid w:val="0010560F"/>
    <w:rsid w:val="00105E75"/>
    <w:rsid w:val="00105F93"/>
    <w:rsid w:val="00106625"/>
    <w:rsid w:val="0010750A"/>
    <w:rsid w:val="001079FC"/>
    <w:rsid w:val="00107A3F"/>
    <w:rsid w:val="001104FB"/>
    <w:rsid w:val="001112CD"/>
    <w:rsid w:val="00111880"/>
    <w:rsid w:val="0011204F"/>
    <w:rsid w:val="00113D1A"/>
    <w:rsid w:val="00114575"/>
    <w:rsid w:val="00114948"/>
    <w:rsid w:val="00114BC0"/>
    <w:rsid w:val="0011547E"/>
    <w:rsid w:val="00116F98"/>
    <w:rsid w:val="00120300"/>
    <w:rsid w:val="00120E72"/>
    <w:rsid w:val="001211C8"/>
    <w:rsid w:val="001214FA"/>
    <w:rsid w:val="00121FF6"/>
    <w:rsid w:val="001222D1"/>
    <w:rsid w:val="00122569"/>
    <w:rsid w:val="00122592"/>
    <w:rsid w:val="00123F4B"/>
    <w:rsid w:val="00124159"/>
    <w:rsid w:val="0012466F"/>
    <w:rsid w:val="001246A9"/>
    <w:rsid w:val="00124756"/>
    <w:rsid w:val="001249E0"/>
    <w:rsid w:val="00124ABA"/>
    <w:rsid w:val="00124E5A"/>
    <w:rsid w:val="0012569C"/>
    <w:rsid w:val="00125CB8"/>
    <w:rsid w:val="00126E58"/>
    <w:rsid w:val="0012747E"/>
    <w:rsid w:val="00127538"/>
    <w:rsid w:val="0013117F"/>
    <w:rsid w:val="0013182A"/>
    <w:rsid w:val="00131D2D"/>
    <w:rsid w:val="0013200C"/>
    <w:rsid w:val="00132141"/>
    <w:rsid w:val="00132542"/>
    <w:rsid w:val="00132FE3"/>
    <w:rsid w:val="00135C77"/>
    <w:rsid w:val="00135F74"/>
    <w:rsid w:val="001367BB"/>
    <w:rsid w:val="001368FC"/>
    <w:rsid w:val="00136ADF"/>
    <w:rsid w:val="00137F5C"/>
    <w:rsid w:val="00140557"/>
    <w:rsid w:val="001418BC"/>
    <w:rsid w:val="0014254B"/>
    <w:rsid w:val="0014301F"/>
    <w:rsid w:val="001446A5"/>
    <w:rsid w:val="001447AF"/>
    <w:rsid w:val="001448B8"/>
    <w:rsid w:val="00144CA9"/>
    <w:rsid w:val="00145381"/>
    <w:rsid w:val="001464E5"/>
    <w:rsid w:val="001465DA"/>
    <w:rsid w:val="00146AE9"/>
    <w:rsid w:val="00147278"/>
    <w:rsid w:val="001500A1"/>
    <w:rsid w:val="0015098F"/>
    <w:rsid w:val="00150B70"/>
    <w:rsid w:val="00150DB0"/>
    <w:rsid w:val="00151ACA"/>
    <w:rsid w:val="00151F3A"/>
    <w:rsid w:val="001535D6"/>
    <w:rsid w:val="00153E27"/>
    <w:rsid w:val="00154B5D"/>
    <w:rsid w:val="00154C34"/>
    <w:rsid w:val="00154DBB"/>
    <w:rsid w:val="001556AD"/>
    <w:rsid w:val="0015615C"/>
    <w:rsid w:val="001568D1"/>
    <w:rsid w:val="00156E7E"/>
    <w:rsid w:val="00157043"/>
    <w:rsid w:val="001574FE"/>
    <w:rsid w:val="001575F9"/>
    <w:rsid w:val="00160DE9"/>
    <w:rsid w:val="001610B2"/>
    <w:rsid w:val="001611DF"/>
    <w:rsid w:val="00161FF9"/>
    <w:rsid w:val="00162671"/>
    <w:rsid w:val="00163558"/>
    <w:rsid w:val="001639F0"/>
    <w:rsid w:val="00164AED"/>
    <w:rsid w:val="00165F1A"/>
    <w:rsid w:val="001661F4"/>
    <w:rsid w:val="00167005"/>
    <w:rsid w:val="00170394"/>
    <w:rsid w:val="0017044B"/>
    <w:rsid w:val="00171540"/>
    <w:rsid w:val="00171C6E"/>
    <w:rsid w:val="00172D1B"/>
    <w:rsid w:val="00174D80"/>
    <w:rsid w:val="00175FEF"/>
    <w:rsid w:val="00176394"/>
    <w:rsid w:val="00176832"/>
    <w:rsid w:val="001774BC"/>
    <w:rsid w:val="001777DF"/>
    <w:rsid w:val="00180967"/>
    <w:rsid w:val="00181478"/>
    <w:rsid w:val="0018156C"/>
    <w:rsid w:val="00182731"/>
    <w:rsid w:val="0018296A"/>
    <w:rsid w:val="00183725"/>
    <w:rsid w:val="00184301"/>
    <w:rsid w:val="0018520F"/>
    <w:rsid w:val="001853E7"/>
    <w:rsid w:val="001858CB"/>
    <w:rsid w:val="0018630B"/>
    <w:rsid w:val="00190278"/>
    <w:rsid w:val="00190860"/>
    <w:rsid w:val="00191247"/>
    <w:rsid w:val="00193031"/>
    <w:rsid w:val="0019310F"/>
    <w:rsid w:val="0019403E"/>
    <w:rsid w:val="00194532"/>
    <w:rsid w:val="00194B6E"/>
    <w:rsid w:val="00194E50"/>
    <w:rsid w:val="00194FB1"/>
    <w:rsid w:val="001950F1"/>
    <w:rsid w:val="001951E0"/>
    <w:rsid w:val="001954A4"/>
    <w:rsid w:val="00195871"/>
    <w:rsid w:val="00196B56"/>
    <w:rsid w:val="0019749F"/>
    <w:rsid w:val="001A07A3"/>
    <w:rsid w:val="001A2445"/>
    <w:rsid w:val="001A2CEA"/>
    <w:rsid w:val="001A3206"/>
    <w:rsid w:val="001A389F"/>
    <w:rsid w:val="001A38B8"/>
    <w:rsid w:val="001A3C4B"/>
    <w:rsid w:val="001A3E4B"/>
    <w:rsid w:val="001A3F36"/>
    <w:rsid w:val="001A40AD"/>
    <w:rsid w:val="001A46CE"/>
    <w:rsid w:val="001A4D7C"/>
    <w:rsid w:val="001A4EC9"/>
    <w:rsid w:val="001A582F"/>
    <w:rsid w:val="001A59BB"/>
    <w:rsid w:val="001A5DC7"/>
    <w:rsid w:val="001A5F74"/>
    <w:rsid w:val="001A6526"/>
    <w:rsid w:val="001A6CC1"/>
    <w:rsid w:val="001A6DA1"/>
    <w:rsid w:val="001A72A7"/>
    <w:rsid w:val="001A792F"/>
    <w:rsid w:val="001B0A57"/>
    <w:rsid w:val="001B0F22"/>
    <w:rsid w:val="001B127C"/>
    <w:rsid w:val="001B1D3C"/>
    <w:rsid w:val="001B1DB2"/>
    <w:rsid w:val="001B2371"/>
    <w:rsid w:val="001B2995"/>
    <w:rsid w:val="001B3095"/>
    <w:rsid w:val="001B316B"/>
    <w:rsid w:val="001B3857"/>
    <w:rsid w:val="001B3E15"/>
    <w:rsid w:val="001B419A"/>
    <w:rsid w:val="001B438F"/>
    <w:rsid w:val="001B46C4"/>
    <w:rsid w:val="001B5A0A"/>
    <w:rsid w:val="001B5CCB"/>
    <w:rsid w:val="001B680D"/>
    <w:rsid w:val="001B6915"/>
    <w:rsid w:val="001B76F6"/>
    <w:rsid w:val="001C034F"/>
    <w:rsid w:val="001C16C2"/>
    <w:rsid w:val="001C24D8"/>
    <w:rsid w:val="001C2B48"/>
    <w:rsid w:val="001C2F4F"/>
    <w:rsid w:val="001C37CA"/>
    <w:rsid w:val="001C3945"/>
    <w:rsid w:val="001C3E41"/>
    <w:rsid w:val="001C431F"/>
    <w:rsid w:val="001C45F4"/>
    <w:rsid w:val="001C60E5"/>
    <w:rsid w:val="001C6CBA"/>
    <w:rsid w:val="001C7321"/>
    <w:rsid w:val="001D0E7D"/>
    <w:rsid w:val="001D2044"/>
    <w:rsid w:val="001D22E6"/>
    <w:rsid w:val="001D40BB"/>
    <w:rsid w:val="001D43D5"/>
    <w:rsid w:val="001D47E5"/>
    <w:rsid w:val="001D5784"/>
    <w:rsid w:val="001D5785"/>
    <w:rsid w:val="001D5CD4"/>
    <w:rsid w:val="001D5D10"/>
    <w:rsid w:val="001D6F97"/>
    <w:rsid w:val="001D76FB"/>
    <w:rsid w:val="001D7DF1"/>
    <w:rsid w:val="001D7F13"/>
    <w:rsid w:val="001E04E9"/>
    <w:rsid w:val="001E0B41"/>
    <w:rsid w:val="001E0F32"/>
    <w:rsid w:val="001E1439"/>
    <w:rsid w:val="001E15B5"/>
    <w:rsid w:val="001E1C7F"/>
    <w:rsid w:val="001E2138"/>
    <w:rsid w:val="001E2945"/>
    <w:rsid w:val="001E2F16"/>
    <w:rsid w:val="001E3238"/>
    <w:rsid w:val="001E41C9"/>
    <w:rsid w:val="001E4793"/>
    <w:rsid w:val="001E4943"/>
    <w:rsid w:val="001E4E5D"/>
    <w:rsid w:val="001E5281"/>
    <w:rsid w:val="001E56B3"/>
    <w:rsid w:val="001E59AA"/>
    <w:rsid w:val="001E60D4"/>
    <w:rsid w:val="001E65AC"/>
    <w:rsid w:val="001E6DF1"/>
    <w:rsid w:val="001E721D"/>
    <w:rsid w:val="001E737A"/>
    <w:rsid w:val="001E7E1D"/>
    <w:rsid w:val="001F0447"/>
    <w:rsid w:val="001F0668"/>
    <w:rsid w:val="001F0A0A"/>
    <w:rsid w:val="001F0F73"/>
    <w:rsid w:val="001F1414"/>
    <w:rsid w:val="001F17E4"/>
    <w:rsid w:val="001F28DC"/>
    <w:rsid w:val="001F2944"/>
    <w:rsid w:val="001F2F73"/>
    <w:rsid w:val="001F3319"/>
    <w:rsid w:val="001F3F79"/>
    <w:rsid w:val="001F4170"/>
    <w:rsid w:val="001F4F7F"/>
    <w:rsid w:val="001F50EA"/>
    <w:rsid w:val="001F5611"/>
    <w:rsid w:val="001F5F19"/>
    <w:rsid w:val="001F63E2"/>
    <w:rsid w:val="001F6A12"/>
    <w:rsid w:val="001F7365"/>
    <w:rsid w:val="001F75BA"/>
    <w:rsid w:val="001F7816"/>
    <w:rsid w:val="001F7D38"/>
    <w:rsid w:val="002027C6"/>
    <w:rsid w:val="002037E0"/>
    <w:rsid w:val="00203BBA"/>
    <w:rsid w:val="00203C51"/>
    <w:rsid w:val="00203D04"/>
    <w:rsid w:val="00203F79"/>
    <w:rsid w:val="002041A6"/>
    <w:rsid w:val="002046FE"/>
    <w:rsid w:val="002051BA"/>
    <w:rsid w:val="002052E0"/>
    <w:rsid w:val="00205379"/>
    <w:rsid w:val="0020577F"/>
    <w:rsid w:val="00205C84"/>
    <w:rsid w:val="00206C09"/>
    <w:rsid w:val="00206E60"/>
    <w:rsid w:val="00210D0A"/>
    <w:rsid w:val="002119C0"/>
    <w:rsid w:val="00211FBE"/>
    <w:rsid w:val="00212739"/>
    <w:rsid w:val="0021293B"/>
    <w:rsid w:val="002132FE"/>
    <w:rsid w:val="00213537"/>
    <w:rsid w:val="00213A80"/>
    <w:rsid w:val="00213CE0"/>
    <w:rsid w:val="0021407E"/>
    <w:rsid w:val="00216167"/>
    <w:rsid w:val="00216838"/>
    <w:rsid w:val="00216FCF"/>
    <w:rsid w:val="00220110"/>
    <w:rsid w:val="00220186"/>
    <w:rsid w:val="00220D25"/>
    <w:rsid w:val="002211C5"/>
    <w:rsid w:val="00221370"/>
    <w:rsid w:val="00221A05"/>
    <w:rsid w:val="00221F79"/>
    <w:rsid w:val="002220F6"/>
    <w:rsid w:val="00222A02"/>
    <w:rsid w:val="00222A86"/>
    <w:rsid w:val="00223A42"/>
    <w:rsid w:val="0022435C"/>
    <w:rsid w:val="0022497F"/>
    <w:rsid w:val="00224E7F"/>
    <w:rsid w:val="00225391"/>
    <w:rsid w:val="0022561C"/>
    <w:rsid w:val="00225D7F"/>
    <w:rsid w:val="00225F65"/>
    <w:rsid w:val="00227224"/>
    <w:rsid w:val="00227709"/>
    <w:rsid w:val="00230A96"/>
    <w:rsid w:val="00230B57"/>
    <w:rsid w:val="0023146A"/>
    <w:rsid w:val="002319FE"/>
    <w:rsid w:val="00231C41"/>
    <w:rsid w:val="0023202D"/>
    <w:rsid w:val="00232DD0"/>
    <w:rsid w:val="00232FDD"/>
    <w:rsid w:val="00232FEE"/>
    <w:rsid w:val="002331E1"/>
    <w:rsid w:val="00233701"/>
    <w:rsid w:val="002339C3"/>
    <w:rsid w:val="00234414"/>
    <w:rsid w:val="00234692"/>
    <w:rsid w:val="0023498B"/>
    <w:rsid w:val="0023528D"/>
    <w:rsid w:val="002355D6"/>
    <w:rsid w:val="00235E17"/>
    <w:rsid w:val="00236396"/>
    <w:rsid w:val="00236408"/>
    <w:rsid w:val="00236CCA"/>
    <w:rsid w:val="00236EA9"/>
    <w:rsid w:val="002377AA"/>
    <w:rsid w:val="002378C0"/>
    <w:rsid w:val="00237D7F"/>
    <w:rsid w:val="00240636"/>
    <w:rsid w:val="002414DE"/>
    <w:rsid w:val="002415FE"/>
    <w:rsid w:val="0024172A"/>
    <w:rsid w:val="00243172"/>
    <w:rsid w:val="002431E0"/>
    <w:rsid w:val="002435B2"/>
    <w:rsid w:val="00243DB0"/>
    <w:rsid w:val="00244037"/>
    <w:rsid w:val="002447B8"/>
    <w:rsid w:val="002447DE"/>
    <w:rsid w:val="0024532A"/>
    <w:rsid w:val="00245EA3"/>
    <w:rsid w:val="002465CA"/>
    <w:rsid w:val="00246CEF"/>
    <w:rsid w:val="0024724D"/>
    <w:rsid w:val="0025061C"/>
    <w:rsid w:val="00251683"/>
    <w:rsid w:val="0025178A"/>
    <w:rsid w:val="00251A90"/>
    <w:rsid w:val="00251D7F"/>
    <w:rsid w:val="002525D3"/>
    <w:rsid w:val="00252602"/>
    <w:rsid w:val="0025277B"/>
    <w:rsid w:val="00253082"/>
    <w:rsid w:val="00253157"/>
    <w:rsid w:val="00253CA2"/>
    <w:rsid w:val="00254A96"/>
    <w:rsid w:val="002554B3"/>
    <w:rsid w:val="00255A86"/>
    <w:rsid w:val="00256A2D"/>
    <w:rsid w:val="002576EF"/>
    <w:rsid w:val="00260CB9"/>
    <w:rsid w:val="00260F11"/>
    <w:rsid w:val="00261E6D"/>
    <w:rsid w:val="002627B3"/>
    <w:rsid w:val="00263426"/>
    <w:rsid w:val="002649FC"/>
    <w:rsid w:val="00264A8A"/>
    <w:rsid w:val="002659C5"/>
    <w:rsid w:val="00265A58"/>
    <w:rsid w:val="00265AB3"/>
    <w:rsid w:val="00266220"/>
    <w:rsid w:val="0026641C"/>
    <w:rsid w:val="00266675"/>
    <w:rsid w:val="00266803"/>
    <w:rsid w:val="0026772D"/>
    <w:rsid w:val="002704B0"/>
    <w:rsid w:val="00270664"/>
    <w:rsid w:val="002710B2"/>
    <w:rsid w:val="00271513"/>
    <w:rsid w:val="00272789"/>
    <w:rsid w:val="002727F6"/>
    <w:rsid w:val="002729D9"/>
    <w:rsid w:val="0027413D"/>
    <w:rsid w:val="002743B0"/>
    <w:rsid w:val="00274F2B"/>
    <w:rsid w:val="00275242"/>
    <w:rsid w:val="002752B1"/>
    <w:rsid w:val="00275392"/>
    <w:rsid w:val="00275986"/>
    <w:rsid w:val="00275D3D"/>
    <w:rsid w:val="00275E64"/>
    <w:rsid w:val="00275E74"/>
    <w:rsid w:val="002775C3"/>
    <w:rsid w:val="0028037C"/>
    <w:rsid w:val="0028063B"/>
    <w:rsid w:val="002811AC"/>
    <w:rsid w:val="002818B8"/>
    <w:rsid w:val="00281E18"/>
    <w:rsid w:val="002828DB"/>
    <w:rsid w:val="00282D1C"/>
    <w:rsid w:val="00282D3C"/>
    <w:rsid w:val="002837D4"/>
    <w:rsid w:val="00284FB8"/>
    <w:rsid w:val="00285BBA"/>
    <w:rsid w:val="0028770F"/>
    <w:rsid w:val="00287D02"/>
    <w:rsid w:val="00287FAA"/>
    <w:rsid w:val="002905B7"/>
    <w:rsid w:val="00291D35"/>
    <w:rsid w:val="0029369F"/>
    <w:rsid w:val="00293CCC"/>
    <w:rsid w:val="00293D59"/>
    <w:rsid w:val="0029426D"/>
    <w:rsid w:val="002943F2"/>
    <w:rsid w:val="00294791"/>
    <w:rsid w:val="00294ADD"/>
    <w:rsid w:val="002956A7"/>
    <w:rsid w:val="002961E7"/>
    <w:rsid w:val="002964F4"/>
    <w:rsid w:val="00297776"/>
    <w:rsid w:val="002A168B"/>
    <w:rsid w:val="002A21D6"/>
    <w:rsid w:val="002A2E46"/>
    <w:rsid w:val="002A2FB6"/>
    <w:rsid w:val="002A3013"/>
    <w:rsid w:val="002A32E8"/>
    <w:rsid w:val="002A378D"/>
    <w:rsid w:val="002A3A0D"/>
    <w:rsid w:val="002A3DB9"/>
    <w:rsid w:val="002A4220"/>
    <w:rsid w:val="002A54FE"/>
    <w:rsid w:val="002A5503"/>
    <w:rsid w:val="002A6504"/>
    <w:rsid w:val="002A6AD0"/>
    <w:rsid w:val="002A787F"/>
    <w:rsid w:val="002A796D"/>
    <w:rsid w:val="002A7CBE"/>
    <w:rsid w:val="002B03C6"/>
    <w:rsid w:val="002B0A92"/>
    <w:rsid w:val="002B0C11"/>
    <w:rsid w:val="002B16EB"/>
    <w:rsid w:val="002B1791"/>
    <w:rsid w:val="002B1A6C"/>
    <w:rsid w:val="002B1B36"/>
    <w:rsid w:val="002B2308"/>
    <w:rsid w:val="002B23AC"/>
    <w:rsid w:val="002B2A9F"/>
    <w:rsid w:val="002B2E8A"/>
    <w:rsid w:val="002B324A"/>
    <w:rsid w:val="002B3786"/>
    <w:rsid w:val="002B412A"/>
    <w:rsid w:val="002B44A3"/>
    <w:rsid w:val="002B4DF7"/>
    <w:rsid w:val="002B500F"/>
    <w:rsid w:val="002B5575"/>
    <w:rsid w:val="002B5997"/>
    <w:rsid w:val="002B66F0"/>
    <w:rsid w:val="002B6C21"/>
    <w:rsid w:val="002B6D82"/>
    <w:rsid w:val="002B70B9"/>
    <w:rsid w:val="002B76FC"/>
    <w:rsid w:val="002B786B"/>
    <w:rsid w:val="002C1CF6"/>
    <w:rsid w:val="002C28C9"/>
    <w:rsid w:val="002C366D"/>
    <w:rsid w:val="002C3A09"/>
    <w:rsid w:val="002C3ACC"/>
    <w:rsid w:val="002C3ED2"/>
    <w:rsid w:val="002C4DA9"/>
    <w:rsid w:val="002C653C"/>
    <w:rsid w:val="002C67C3"/>
    <w:rsid w:val="002C6982"/>
    <w:rsid w:val="002C6D51"/>
    <w:rsid w:val="002C76A0"/>
    <w:rsid w:val="002C77AE"/>
    <w:rsid w:val="002C7A3E"/>
    <w:rsid w:val="002D0101"/>
    <w:rsid w:val="002D07E2"/>
    <w:rsid w:val="002D1540"/>
    <w:rsid w:val="002D2097"/>
    <w:rsid w:val="002D2D5E"/>
    <w:rsid w:val="002D3308"/>
    <w:rsid w:val="002D4D21"/>
    <w:rsid w:val="002D53A8"/>
    <w:rsid w:val="002D55F7"/>
    <w:rsid w:val="002D5CA4"/>
    <w:rsid w:val="002D68AD"/>
    <w:rsid w:val="002D6D95"/>
    <w:rsid w:val="002D6F3E"/>
    <w:rsid w:val="002D755A"/>
    <w:rsid w:val="002E01DA"/>
    <w:rsid w:val="002E04CA"/>
    <w:rsid w:val="002E0BF5"/>
    <w:rsid w:val="002E11B1"/>
    <w:rsid w:val="002E12B7"/>
    <w:rsid w:val="002E245D"/>
    <w:rsid w:val="002E246A"/>
    <w:rsid w:val="002E254F"/>
    <w:rsid w:val="002E30EF"/>
    <w:rsid w:val="002E31B4"/>
    <w:rsid w:val="002E3469"/>
    <w:rsid w:val="002E3517"/>
    <w:rsid w:val="002E359A"/>
    <w:rsid w:val="002E44E3"/>
    <w:rsid w:val="002E572A"/>
    <w:rsid w:val="002E5C83"/>
    <w:rsid w:val="002E6246"/>
    <w:rsid w:val="002E7B86"/>
    <w:rsid w:val="002F0C93"/>
    <w:rsid w:val="002F1666"/>
    <w:rsid w:val="002F1A79"/>
    <w:rsid w:val="002F1AD8"/>
    <w:rsid w:val="002F1EE2"/>
    <w:rsid w:val="002F1F6E"/>
    <w:rsid w:val="002F2669"/>
    <w:rsid w:val="002F2675"/>
    <w:rsid w:val="002F2A26"/>
    <w:rsid w:val="002F2D1C"/>
    <w:rsid w:val="002F2DA9"/>
    <w:rsid w:val="002F4AF6"/>
    <w:rsid w:val="002F518D"/>
    <w:rsid w:val="002F5495"/>
    <w:rsid w:val="002F5BFC"/>
    <w:rsid w:val="002F7282"/>
    <w:rsid w:val="002F774B"/>
    <w:rsid w:val="002F7D1F"/>
    <w:rsid w:val="002F7FE6"/>
    <w:rsid w:val="00300282"/>
    <w:rsid w:val="0030133C"/>
    <w:rsid w:val="00302216"/>
    <w:rsid w:val="00303A13"/>
    <w:rsid w:val="00303EDC"/>
    <w:rsid w:val="0030418F"/>
    <w:rsid w:val="00304557"/>
    <w:rsid w:val="00305752"/>
    <w:rsid w:val="00306A0C"/>
    <w:rsid w:val="00307B46"/>
    <w:rsid w:val="00310C7F"/>
    <w:rsid w:val="00311266"/>
    <w:rsid w:val="00311650"/>
    <w:rsid w:val="003118EB"/>
    <w:rsid w:val="0031238E"/>
    <w:rsid w:val="00312811"/>
    <w:rsid w:val="00312FF3"/>
    <w:rsid w:val="003136BB"/>
    <w:rsid w:val="00314150"/>
    <w:rsid w:val="003150BA"/>
    <w:rsid w:val="0031512D"/>
    <w:rsid w:val="00315180"/>
    <w:rsid w:val="003159F6"/>
    <w:rsid w:val="0031618E"/>
    <w:rsid w:val="0031624B"/>
    <w:rsid w:val="003164B4"/>
    <w:rsid w:val="003166C0"/>
    <w:rsid w:val="003173AF"/>
    <w:rsid w:val="0031772A"/>
    <w:rsid w:val="00317ED3"/>
    <w:rsid w:val="0032066C"/>
    <w:rsid w:val="00320AEA"/>
    <w:rsid w:val="003210FD"/>
    <w:rsid w:val="00321216"/>
    <w:rsid w:val="0032214C"/>
    <w:rsid w:val="0032266E"/>
    <w:rsid w:val="0032317E"/>
    <w:rsid w:val="003232C7"/>
    <w:rsid w:val="003235DD"/>
    <w:rsid w:val="003238AA"/>
    <w:rsid w:val="003239EB"/>
    <w:rsid w:val="00323B1F"/>
    <w:rsid w:val="00324153"/>
    <w:rsid w:val="003247AF"/>
    <w:rsid w:val="00324897"/>
    <w:rsid w:val="00325601"/>
    <w:rsid w:val="003259A4"/>
    <w:rsid w:val="00325EF0"/>
    <w:rsid w:val="00326EF7"/>
    <w:rsid w:val="00326F66"/>
    <w:rsid w:val="0032787C"/>
    <w:rsid w:val="00327A8D"/>
    <w:rsid w:val="00331103"/>
    <w:rsid w:val="00331D73"/>
    <w:rsid w:val="00332CF9"/>
    <w:rsid w:val="003330AB"/>
    <w:rsid w:val="00333263"/>
    <w:rsid w:val="00334656"/>
    <w:rsid w:val="00334DE9"/>
    <w:rsid w:val="00334FA3"/>
    <w:rsid w:val="003352D1"/>
    <w:rsid w:val="003352F7"/>
    <w:rsid w:val="00335905"/>
    <w:rsid w:val="00335E58"/>
    <w:rsid w:val="0033617A"/>
    <w:rsid w:val="00336348"/>
    <w:rsid w:val="00336ADF"/>
    <w:rsid w:val="00336BB8"/>
    <w:rsid w:val="00336FED"/>
    <w:rsid w:val="0033700C"/>
    <w:rsid w:val="003417E3"/>
    <w:rsid w:val="0034198B"/>
    <w:rsid w:val="00341A1E"/>
    <w:rsid w:val="00341A75"/>
    <w:rsid w:val="00342512"/>
    <w:rsid w:val="00343723"/>
    <w:rsid w:val="00344D33"/>
    <w:rsid w:val="0034542F"/>
    <w:rsid w:val="003457F9"/>
    <w:rsid w:val="0034671B"/>
    <w:rsid w:val="00347288"/>
    <w:rsid w:val="003502E9"/>
    <w:rsid w:val="003506B8"/>
    <w:rsid w:val="00351953"/>
    <w:rsid w:val="0035288C"/>
    <w:rsid w:val="003529AA"/>
    <w:rsid w:val="00352B75"/>
    <w:rsid w:val="00353238"/>
    <w:rsid w:val="0035355F"/>
    <w:rsid w:val="0035368B"/>
    <w:rsid w:val="00353C89"/>
    <w:rsid w:val="00354105"/>
    <w:rsid w:val="00354615"/>
    <w:rsid w:val="003547C9"/>
    <w:rsid w:val="003609D0"/>
    <w:rsid w:val="00360E57"/>
    <w:rsid w:val="00360F9C"/>
    <w:rsid w:val="00361041"/>
    <w:rsid w:val="00361420"/>
    <w:rsid w:val="00361662"/>
    <w:rsid w:val="00362BE2"/>
    <w:rsid w:val="003631B3"/>
    <w:rsid w:val="00363AE5"/>
    <w:rsid w:val="00364C6E"/>
    <w:rsid w:val="00364CAF"/>
    <w:rsid w:val="00366010"/>
    <w:rsid w:val="003661DB"/>
    <w:rsid w:val="00366C25"/>
    <w:rsid w:val="00366E6C"/>
    <w:rsid w:val="003672E7"/>
    <w:rsid w:val="00367383"/>
    <w:rsid w:val="00367715"/>
    <w:rsid w:val="0037035B"/>
    <w:rsid w:val="00370729"/>
    <w:rsid w:val="00370F52"/>
    <w:rsid w:val="0037186E"/>
    <w:rsid w:val="00372203"/>
    <w:rsid w:val="00372663"/>
    <w:rsid w:val="00372A20"/>
    <w:rsid w:val="00372AE4"/>
    <w:rsid w:val="0037307E"/>
    <w:rsid w:val="00373D54"/>
    <w:rsid w:val="003741A3"/>
    <w:rsid w:val="00374276"/>
    <w:rsid w:val="00375352"/>
    <w:rsid w:val="00375677"/>
    <w:rsid w:val="00375B08"/>
    <w:rsid w:val="003763F1"/>
    <w:rsid w:val="00376439"/>
    <w:rsid w:val="00376CF0"/>
    <w:rsid w:val="00380490"/>
    <w:rsid w:val="00381302"/>
    <w:rsid w:val="003814D7"/>
    <w:rsid w:val="00382BC8"/>
    <w:rsid w:val="003837D3"/>
    <w:rsid w:val="003849DF"/>
    <w:rsid w:val="003853FA"/>
    <w:rsid w:val="0038630E"/>
    <w:rsid w:val="00386435"/>
    <w:rsid w:val="00386E3B"/>
    <w:rsid w:val="00386F3C"/>
    <w:rsid w:val="00387028"/>
    <w:rsid w:val="003873E8"/>
    <w:rsid w:val="00387D0A"/>
    <w:rsid w:val="003903A7"/>
    <w:rsid w:val="0039132A"/>
    <w:rsid w:val="00391C05"/>
    <w:rsid w:val="00392192"/>
    <w:rsid w:val="0039241D"/>
    <w:rsid w:val="00393F7D"/>
    <w:rsid w:val="003943B9"/>
    <w:rsid w:val="003946EB"/>
    <w:rsid w:val="00394B4D"/>
    <w:rsid w:val="00394D43"/>
    <w:rsid w:val="00394EC5"/>
    <w:rsid w:val="00395520"/>
    <w:rsid w:val="003957F8"/>
    <w:rsid w:val="0039595B"/>
    <w:rsid w:val="0039659C"/>
    <w:rsid w:val="003967C1"/>
    <w:rsid w:val="0039691B"/>
    <w:rsid w:val="0039736B"/>
    <w:rsid w:val="003A0E49"/>
    <w:rsid w:val="003A1114"/>
    <w:rsid w:val="003A1F48"/>
    <w:rsid w:val="003A22E1"/>
    <w:rsid w:val="003A2839"/>
    <w:rsid w:val="003A2858"/>
    <w:rsid w:val="003A3849"/>
    <w:rsid w:val="003A3A53"/>
    <w:rsid w:val="003A3C1B"/>
    <w:rsid w:val="003A4718"/>
    <w:rsid w:val="003A69A5"/>
    <w:rsid w:val="003A6A1F"/>
    <w:rsid w:val="003A71C1"/>
    <w:rsid w:val="003B0A9D"/>
    <w:rsid w:val="003B155A"/>
    <w:rsid w:val="003B18BE"/>
    <w:rsid w:val="003B1CB8"/>
    <w:rsid w:val="003B1F20"/>
    <w:rsid w:val="003B26FA"/>
    <w:rsid w:val="003B2F3E"/>
    <w:rsid w:val="003B3152"/>
    <w:rsid w:val="003B3714"/>
    <w:rsid w:val="003B38B0"/>
    <w:rsid w:val="003B39B2"/>
    <w:rsid w:val="003B3AD1"/>
    <w:rsid w:val="003B3AE7"/>
    <w:rsid w:val="003B3BA8"/>
    <w:rsid w:val="003B4471"/>
    <w:rsid w:val="003B4AD3"/>
    <w:rsid w:val="003B4F33"/>
    <w:rsid w:val="003B5108"/>
    <w:rsid w:val="003B5563"/>
    <w:rsid w:val="003B7844"/>
    <w:rsid w:val="003B78B0"/>
    <w:rsid w:val="003B7CD8"/>
    <w:rsid w:val="003B7F14"/>
    <w:rsid w:val="003C0208"/>
    <w:rsid w:val="003C0970"/>
    <w:rsid w:val="003C0C09"/>
    <w:rsid w:val="003C0D0A"/>
    <w:rsid w:val="003C0FDE"/>
    <w:rsid w:val="003C16B9"/>
    <w:rsid w:val="003C2C6A"/>
    <w:rsid w:val="003C322A"/>
    <w:rsid w:val="003C3CA4"/>
    <w:rsid w:val="003C431F"/>
    <w:rsid w:val="003C5BE4"/>
    <w:rsid w:val="003C5E82"/>
    <w:rsid w:val="003C6118"/>
    <w:rsid w:val="003C6377"/>
    <w:rsid w:val="003C6562"/>
    <w:rsid w:val="003C66D1"/>
    <w:rsid w:val="003C6C54"/>
    <w:rsid w:val="003C6E9F"/>
    <w:rsid w:val="003C731F"/>
    <w:rsid w:val="003D0284"/>
    <w:rsid w:val="003D060E"/>
    <w:rsid w:val="003D0B08"/>
    <w:rsid w:val="003D0C95"/>
    <w:rsid w:val="003D0E14"/>
    <w:rsid w:val="003D1266"/>
    <w:rsid w:val="003D171B"/>
    <w:rsid w:val="003D1B58"/>
    <w:rsid w:val="003D2645"/>
    <w:rsid w:val="003D3108"/>
    <w:rsid w:val="003D317A"/>
    <w:rsid w:val="003D46C5"/>
    <w:rsid w:val="003D4F4A"/>
    <w:rsid w:val="003D4F8D"/>
    <w:rsid w:val="003D5BF3"/>
    <w:rsid w:val="003D5FD3"/>
    <w:rsid w:val="003D602F"/>
    <w:rsid w:val="003D61F9"/>
    <w:rsid w:val="003D791E"/>
    <w:rsid w:val="003E1430"/>
    <w:rsid w:val="003E1435"/>
    <w:rsid w:val="003E23D1"/>
    <w:rsid w:val="003E2B1C"/>
    <w:rsid w:val="003E2BA8"/>
    <w:rsid w:val="003E3335"/>
    <w:rsid w:val="003E36B0"/>
    <w:rsid w:val="003E3D31"/>
    <w:rsid w:val="003E3EC2"/>
    <w:rsid w:val="003E42A5"/>
    <w:rsid w:val="003E4765"/>
    <w:rsid w:val="003E4A1B"/>
    <w:rsid w:val="003E4C63"/>
    <w:rsid w:val="003E56B6"/>
    <w:rsid w:val="003E58BC"/>
    <w:rsid w:val="003E5BBC"/>
    <w:rsid w:val="003E5DFA"/>
    <w:rsid w:val="003E5FD2"/>
    <w:rsid w:val="003E604E"/>
    <w:rsid w:val="003E68D6"/>
    <w:rsid w:val="003E6D67"/>
    <w:rsid w:val="003E7433"/>
    <w:rsid w:val="003E77C8"/>
    <w:rsid w:val="003E7DB1"/>
    <w:rsid w:val="003F1519"/>
    <w:rsid w:val="003F186B"/>
    <w:rsid w:val="003F1AE6"/>
    <w:rsid w:val="003F1F14"/>
    <w:rsid w:val="003F3A26"/>
    <w:rsid w:val="003F3BDF"/>
    <w:rsid w:val="003F4BEA"/>
    <w:rsid w:val="003F4D3C"/>
    <w:rsid w:val="003F4FD9"/>
    <w:rsid w:val="003F5A3D"/>
    <w:rsid w:val="003F5C4A"/>
    <w:rsid w:val="003F60C3"/>
    <w:rsid w:val="003F7154"/>
    <w:rsid w:val="0040050A"/>
    <w:rsid w:val="00400FC2"/>
    <w:rsid w:val="00401526"/>
    <w:rsid w:val="004025D6"/>
    <w:rsid w:val="0040271F"/>
    <w:rsid w:val="004027FC"/>
    <w:rsid w:val="004030B5"/>
    <w:rsid w:val="004037F3"/>
    <w:rsid w:val="004053EC"/>
    <w:rsid w:val="0040547F"/>
    <w:rsid w:val="004056BC"/>
    <w:rsid w:val="004059B2"/>
    <w:rsid w:val="00405FD3"/>
    <w:rsid w:val="0040649B"/>
    <w:rsid w:val="004068F3"/>
    <w:rsid w:val="00406BA2"/>
    <w:rsid w:val="00406BA7"/>
    <w:rsid w:val="00407179"/>
    <w:rsid w:val="00410656"/>
    <w:rsid w:val="0041066F"/>
    <w:rsid w:val="00410F6A"/>
    <w:rsid w:val="004111CC"/>
    <w:rsid w:val="004128EB"/>
    <w:rsid w:val="00413150"/>
    <w:rsid w:val="0041401C"/>
    <w:rsid w:val="00414677"/>
    <w:rsid w:val="0041548D"/>
    <w:rsid w:val="0041555F"/>
    <w:rsid w:val="00415C61"/>
    <w:rsid w:val="00416166"/>
    <w:rsid w:val="004174C6"/>
    <w:rsid w:val="00420679"/>
    <w:rsid w:val="00421BFD"/>
    <w:rsid w:val="004221DF"/>
    <w:rsid w:val="004227E4"/>
    <w:rsid w:val="0042282C"/>
    <w:rsid w:val="00422AEB"/>
    <w:rsid w:val="00422B49"/>
    <w:rsid w:val="00422F71"/>
    <w:rsid w:val="00423AA3"/>
    <w:rsid w:val="004240AA"/>
    <w:rsid w:val="004241A6"/>
    <w:rsid w:val="0042425A"/>
    <w:rsid w:val="004242DD"/>
    <w:rsid w:val="00424958"/>
    <w:rsid w:val="00424AC0"/>
    <w:rsid w:val="00426B06"/>
    <w:rsid w:val="00426E14"/>
    <w:rsid w:val="00427E22"/>
    <w:rsid w:val="00427E9A"/>
    <w:rsid w:val="00431543"/>
    <w:rsid w:val="00431AE0"/>
    <w:rsid w:val="004336CE"/>
    <w:rsid w:val="00433E31"/>
    <w:rsid w:val="00433F71"/>
    <w:rsid w:val="0043484A"/>
    <w:rsid w:val="00434C0B"/>
    <w:rsid w:val="00434C54"/>
    <w:rsid w:val="00435026"/>
    <w:rsid w:val="0043509A"/>
    <w:rsid w:val="004364BA"/>
    <w:rsid w:val="00436BA9"/>
    <w:rsid w:val="00437412"/>
    <w:rsid w:val="00437E9F"/>
    <w:rsid w:val="00437F77"/>
    <w:rsid w:val="004404C1"/>
    <w:rsid w:val="00440BA8"/>
    <w:rsid w:val="00440DA2"/>
    <w:rsid w:val="0044217C"/>
    <w:rsid w:val="004429BA"/>
    <w:rsid w:val="00442FE7"/>
    <w:rsid w:val="00444585"/>
    <w:rsid w:val="004456EA"/>
    <w:rsid w:val="00445CBB"/>
    <w:rsid w:val="00445D1B"/>
    <w:rsid w:val="00446068"/>
    <w:rsid w:val="00446319"/>
    <w:rsid w:val="004473FD"/>
    <w:rsid w:val="004508FA"/>
    <w:rsid w:val="00450FC7"/>
    <w:rsid w:val="00451998"/>
    <w:rsid w:val="00451D67"/>
    <w:rsid w:val="004520A8"/>
    <w:rsid w:val="004526A9"/>
    <w:rsid w:val="00452F64"/>
    <w:rsid w:val="0045337E"/>
    <w:rsid w:val="00454FA3"/>
    <w:rsid w:val="00455538"/>
    <w:rsid w:val="00456594"/>
    <w:rsid w:val="00456A8F"/>
    <w:rsid w:val="00457695"/>
    <w:rsid w:val="00457713"/>
    <w:rsid w:val="00460836"/>
    <w:rsid w:val="00461334"/>
    <w:rsid w:val="004614EE"/>
    <w:rsid w:val="00461C84"/>
    <w:rsid w:val="004635BF"/>
    <w:rsid w:val="0046376D"/>
    <w:rsid w:val="0046397B"/>
    <w:rsid w:val="00463B86"/>
    <w:rsid w:val="00464364"/>
    <w:rsid w:val="00465353"/>
    <w:rsid w:val="00465C97"/>
    <w:rsid w:val="004665D1"/>
    <w:rsid w:val="00467607"/>
    <w:rsid w:val="00470388"/>
    <w:rsid w:val="0047191C"/>
    <w:rsid w:val="00471F2D"/>
    <w:rsid w:val="00471FA0"/>
    <w:rsid w:val="004721E9"/>
    <w:rsid w:val="00472A76"/>
    <w:rsid w:val="00472CDA"/>
    <w:rsid w:val="00472F5F"/>
    <w:rsid w:val="00473777"/>
    <w:rsid w:val="00473D79"/>
    <w:rsid w:val="00474343"/>
    <w:rsid w:val="004745D3"/>
    <w:rsid w:val="00476F4A"/>
    <w:rsid w:val="0047706D"/>
    <w:rsid w:val="004775B2"/>
    <w:rsid w:val="004775D0"/>
    <w:rsid w:val="0048076B"/>
    <w:rsid w:val="00481603"/>
    <w:rsid w:val="00481D98"/>
    <w:rsid w:val="00483189"/>
    <w:rsid w:val="004835B2"/>
    <w:rsid w:val="00483931"/>
    <w:rsid w:val="004854C4"/>
    <w:rsid w:val="004855E4"/>
    <w:rsid w:val="00485A04"/>
    <w:rsid w:val="00487529"/>
    <w:rsid w:val="00487762"/>
    <w:rsid w:val="00487776"/>
    <w:rsid w:val="004878D8"/>
    <w:rsid w:val="00487C35"/>
    <w:rsid w:val="00487D85"/>
    <w:rsid w:val="00487F31"/>
    <w:rsid w:val="00491647"/>
    <w:rsid w:val="0049180D"/>
    <w:rsid w:val="00491B00"/>
    <w:rsid w:val="00492141"/>
    <w:rsid w:val="004929FF"/>
    <w:rsid w:val="00492DF0"/>
    <w:rsid w:val="0049303A"/>
    <w:rsid w:val="00493369"/>
    <w:rsid w:val="00493389"/>
    <w:rsid w:val="00494796"/>
    <w:rsid w:val="004973F1"/>
    <w:rsid w:val="004A02E2"/>
    <w:rsid w:val="004A0710"/>
    <w:rsid w:val="004A0C53"/>
    <w:rsid w:val="004A11C0"/>
    <w:rsid w:val="004A128D"/>
    <w:rsid w:val="004A17F6"/>
    <w:rsid w:val="004A1EC4"/>
    <w:rsid w:val="004A2201"/>
    <w:rsid w:val="004A2DB2"/>
    <w:rsid w:val="004A350B"/>
    <w:rsid w:val="004A4157"/>
    <w:rsid w:val="004A46BE"/>
    <w:rsid w:val="004A46EB"/>
    <w:rsid w:val="004A488E"/>
    <w:rsid w:val="004A5420"/>
    <w:rsid w:val="004A5B15"/>
    <w:rsid w:val="004A5F6A"/>
    <w:rsid w:val="004A5F90"/>
    <w:rsid w:val="004A61CA"/>
    <w:rsid w:val="004A62B3"/>
    <w:rsid w:val="004A63D1"/>
    <w:rsid w:val="004A6E3B"/>
    <w:rsid w:val="004A72CF"/>
    <w:rsid w:val="004B129F"/>
    <w:rsid w:val="004B1732"/>
    <w:rsid w:val="004B2AC4"/>
    <w:rsid w:val="004B37CD"/>
    <w:rsid w:val="004B3C2E"/>
    <w:rsid w:val="004B414A"/>
    <w:rsid w:val="004B4459"/>
    <w:rsid w:val="004B49E5"/>
    <w:rsid w:val="004B4B60"/>
    <w:rsid w:val="004B502D"/>
    <w:rsid w:val="004B61B2"/>
    <w:rsid w:val="004B634D"/>
    <w:rsid w:val="004B696D"/>
    <w:rsid w:val="004B75F9"/>
    <w:rsid w:val="004B771F"/>
    <w:rsid w:val="004B7853"/>
    <w:rsid w:val="004B7B32"/>
    <w:rsid w:val="004B7D98"/>
    <w:rsid w:val="004C084F"/>
    <w:rsid w:val="004C0AEA"/>
    <w:rsid w:val="004C114E"/>
    <w:rsid w:val="004C15AE"/>
    <w:rsid w:val="004C1C03"/>
    <w:rsid w:val="004C2B51"/>
    <w:rsid w:val="004C32AF"/>
    <w:rsid w:val="004C3459"/>
    <w:rsid w:val="004C4DBB"/>
    <w:rsid w:val="004C6791"/>
    <w:rsid w:val="004C6858"/>
    <w:rsid w:val="004C6CFE"/>
    <w:rsid w:val="004C74E9"/>
    <w:rsid w:val="004C7A71"/>
    <w:rsid w:val="004D0FD9"/>
    <w:rsid w:val="004D151A"/>
    <w:rsid w:val="004D1544"/>
    <w:rsid w:val="004D273D"/>
    <w:rsid w:val="004D2AD0"/>
    <w:rsid w:val="004D30FC"/>
    <w:rsid w:val="004D3348"/>
    <w:rsid w:val="004D4096"/>
    <w:rsid w:val="004D527F"/>
    <w:rsid w:val="004D57A9"/>
    <w:rsid w:val="004D5C9B"/>
    <w:rsid w:val="004D61BD"/>
    <w:rsid w:val="004D711C"/>
    <w:rsid w:val="004D721D"/>
    <w:rsid w:val="004D75A3"/>
    <w:rsid w:val="004E166A"/>
    <w:rsid w:val="004E1D3C"/>
    <w:rsid w:val="004E1E08"/>
    <w:rsid w:val="004E26DA"/>
    <w:rsid w:val="004E2A65"/>
    <w:rsid w:val="004E360A"/>
    <w:rsid w:val="004E3909"/>
    <w:rsid w:val="004E442F"/>
    <w:rsid w:val="004E4CC0"/>
    <w:rsid w:val="004E4EB6"/>
    <w:rsid w:val="004E79EE"/>
    <w:rsid w:val="004E7B69"/>
    <w:rsid w:val="004F022A"/>
    <w:rsid w:val="004F0A9C"/>
    <w:rsid w:val="004F188B"/>
    <w:rsid w:val="004F213A"/>
    <w:rsid w:val="004F217C"/>
    <w:rsid w:val="004F2C63"/>
    <w:rsid w:val="004F3419"/>
    <w:rsid w:val="004F348D"/>
    <w:rsid w:val="004F34B4"/>
    <w:rsid w:val="004F43E4"/>
    <w:rsid w:val="004F465E"/>
    <w:rsid w:val="004F468A"/>
    <w:rsid w:val="004F4E5F"/>
    <w:rsid w:val="004F4F30"/>
    <w:rsid w:val="004F5342"/>
    <w:rsid w:val="004F6ABC"/>
    <w:rsid w:val="004F6E42"/>
    <w:rsid w:val="00500C8B"/>
    <w:rsid w:val="005012BE"/>
    <w:rsid w:val="00501355"/>
    <w:rsid w:val="0050247A"/>
    <w:rsid w:val="005031AA"/>
    <w:rsid w:val="00503E07"/>
    <w:rsid w:val="005053B2"/>
    <w:rsid w:val="005061F3"/>
    <w:rsid w:val="005070C7"/>
    <w:rsid w:val="00507506"/>
    <w:rsid w:val="0050754A"/>
    <w:rsid w:val="00507992"/>
    <w:rsid w:val="005110AD"/>
    <w:rsid w:val="00511186"/>
    <w:rsid w:val="005115C0"/>
    <w:rsid w:val="00511645"/>
    <w:rsid w:val="00512483"/>
    <w:rsid w:val="00512AE2"/>
    <w:rsid w:val="00512CBE"/>
    <w:rsid w:val="0051386D"/>
    <w:rsid w:val="00513CD3"/>
    <w:rsid w:val="00514F36"/>
    <w:rsid w:val="005152EB"/>
    <w:rsid w:val="005156BE"/>
    <w:rsid w:val="00516EC7"/>
    <w:rsid w:val="005213D9"/>
    <w:rsid w:val="00521A8C"/>
    <w:rsid w:val="00521CCB"/>
    <w:rsid w:val="00522D6B"/>
    <w:rsid w:val="005240F4"/>
    <w:rsid w:val="005243F1"/>
    <w:rsid w:val="005248FB"/>
    <w:rsid w:val="005255AA"/>
    <w:rsid w:val="005255FD"/>
    <w:rsid w:val="005264D9"/>
    <w:rsid w:val="00526865"/>
    <w:rsid w:val="00527511"/>
    <w:rsid w:val="00530C90"/>
    <w:rsid w:val="0053174C"/>
    <w:rsid w:val="005320FC"/>
    <w:rsid w:val="005326C0"/>
    <w:rsid w:val="005326DE"/>
    <w:rsid w:val="00532955"/>
    <w:rsid w:val="00532C30"/>
    <w:rsid w:val="00532E05"/>
    <w:rsid w:val="005332A9"/>
    <w:rsid w:val="005339B6"/>
    <w:rsid w:val="00533EAC"/>
    <w:rsid w:val="00533F3C"/>
    <w:rsid w:val="005341A6"/>
    <w:rsid w:val="00536147"/>
    <w:rsid w:val="0053645A"/>
    <w:rsid w:val="00540E14"/>
    <w:rsid w:val="00541DD7"/>
    <w:rsid w:val="00542383"/>
    <w:rsid w:val="00542AA5"/>
    <w:rsid w:val="00542E64"/>
    <w:rsid w:val="00542F8D"/>
    <w:rsid w:val="005430FB"/>
    <w:rsid w:val="00543722"/>
    <w:rsid w:val="00543819"/>
    <w:rsid w:val="00544523"/>
    <w:rsid w:val="00544FE6"/>
    <w:rsid w:val="005461BA"/>
    <w:rsid w:val="00547924"/>
    <w:rsid w:val="00547ABB"/>
    <w:rsid w:val="00547D43"/>
    <w:rsid w:val="00547D6C"/>
    <w:rsid w:val="00550049"/>
    <w:rsid w:val="005501DC"/>
    <w:rsid w:val="00550465"/>
    <w:rsid w:val="0055050A"/>
    <w:rsid w:val="00550548"/>
    <w:rsid w:val="00550AC3"/>
    <w:rsid w:val="005512A5"/>
    <w:rsid w:val="00552725"/>
    <w:rsid w:val="00552857"/>
    <w:rsid w:val="005543ED"/>
    <w:rsid w:val="00554F4D"/>
    <w:rsid w:val="0055565C"/>
    <w:rsid w:val="00555AC6"/>
    <w:rsid w:val="00555EF5"/>
    <w:rsid w:val="00556F95"/>
    <w:rsid w:val="0056138A"/>
    <w:rsid w:val="005614C8"/>
    <w:rsid w:val="00561590"/>
    <w:rsid w:val="005634F4"/>
    <w:rsid w:val="00563CEF"/>
    <w:rsid w:val="00563E34"/>
    <w:rsid w:val="0056456F"/>
    <w:rsid w:val="00564D3B"/>
    <w:rsid w:val="00564E58"/>
    <w:rsid w:val="005655B7"/>
    <w:rsid w:val="00565CDE"/>
    <w:rsid w:val="005661DF"/>
    <w:rsid w:val="0056752F"/>
    <w:rsid w:val="00567A82"/>
    <w:rsid w:val="00567B03"/>
    <w:rsid w:val="00570BE7"/>
    <w:rsid w:val="00572511"/>
    <w:rsid w:val="00572D8B"/>
    <w:rsid w:val="00572E5C"/>
    <w:rsid w:val="00572F6C"/>
    <w:rsid w:val="00574BCF"/>
    <w:rsid w:val="00575D03"/>
    <w:rsid w:val="00577560"/>
    <w:rsid w:val="00577837"/>
    <w:rsid w:val="00580056"/>
    <w:rsid w:val="00580096"/>
    <w:rsid w:val="00580684"/>
    <w:rsid w:val="00580CEF"/>
    <w:rsid w:val="00580FA3"/>
    <w:rsid w:val="005814DF"/>
    <w:rsid w:val="00582204"/>
    <w:rsid w:val="0058249E"/>
    <w:rsid w:val="00582FE6"/>
    <w:rsid w:val="0058494D"/>
    <w:rsid w:val="00585919"/>
    <w:rsid w:val="0058598D"/>
    <w:rsid w:val="00590620"/>
    <w:rsid w:val="00590B22"/>
    <w:rsid w:val="00592AF9"/>
    <w:rsid w:val="005935F8"/>
    <w:rsid w:val="0059380C"/>
    <w:rsid w:val="00594800"/>
    <w:rsid w:val="005949FB"/>
    <w:rsid w:val="00594ACC"/>
    <w:rsid w:val="00594EEF"/>
    <w:rsid w:val="00596598"/>
    <w:rsid w:val="0059695B"/>
    <w:rsid w:val="005970DE"/>
    <w:rsid w:val="00597169"/>
    <w:rsid w:val="005972DB"/>
    <w:rsid w:val="00597C9E"/>
    <w:rsid w:val="00597F7D"/>
    <w:rsid w:val="005A0430"/>
    <w:rsid w:val="005A09F4"/>
    <w:rsid w:val="005A0B68"/>
    <w:rsid w:val="005A11CC"/>
    <w:rsid w:val="005A1630"/>
    <w:rsid w:val="005A1D23"/>
    <w:rsid w:val="005A28B7"/>
    <w:rsid w:val="005A5E57"/>
    <w:rsid w:val="005A6813"/>
    <w:rsid w:val="005A6A06"/>
    <w:rsid w:val="005A6A5B"/>
    <w:rsid w:val="005A6AD0"/>
    <w:rsid w:val="005B11C5"/>
    <w:rsid w:val="005B1C01"/>
    <w:rsid w:val="005B2BC9"/>
    <w:rsid w:val="005B3E64"/>
    <w:rsid w:val="005B45FF"/>
    <w:rsid w:val="005B4792"/>
    <w:rsid w:val="005B4A2D"/>
    <w:rsid w:val="005B4F89"/>
    <w:rsid w:val="005B6DC5"/>
    <w:rsid w:val="005C0920"/>
    <w:rsid w:val="005C1771"/>
    <w:rsid w:val="005C1B54"/>
    <w:rsid w:val="005C2B72"/>
    <w:rsid w:val="005C3269"/>
    <w:rsid w:val="005C3A20"/>
    <w:rsid w:val="005C44CA"/>
    <w:rsid w:val="005C4A05"/>
    <w:rsid w:val="005C5032"/>
    <w:rsid w:val="005C5490"/>
    <w:rsid w:val="005C59C8"/>
    <w:rsid w:val="005C5EF7"/>
    <w:rsid w:val="005C694D"/>
    <w:rsid w:val="005C7065"/>
    <w:rsid w:val="005C7901"/>
    <w:rsid w:val="005C7CE4"/>
    <w:rsid w:val="005D139A"/>
    <w:rsid w:val="005D15B1"/>
    <w:rsid w:val="005D1600"/>
    <w:rsid w:val="005D2130"/>
    <w:rsid w:val="005D37F9"/>
    <w:rsid w:val="005D4164"/>
    <w:rsid w:val="005D49EA"/>
    <w:rsid w:val="005D4B81"/>
    <w:rsid w:val="005D4BDC"/>
    <w:rsid w:val="005D4E3D"/>
    <w:rsid w:val="005D4ED1"/>
    <w:rsid w:val="005D518A"/>
    <w:rsid w:val="005D565F"/>
    <w:rsid w:val="005D6273"/>
    <w:rsid w:val="005D6439"/>
    <w:rsid w:val="005D6599"/>
    <w:rsid w:val="005D6F19"/>
    <w:rsid w:val="005D78D3"/>
    <w:rsid w:val="005D7D03"/>
    <w:rsid w:val="005E03F6"/>
    <w:rsid w:val="005E045C"/>
    <w:rsid w:val="005E0790"/>
    <w:rsid w:val="005E2299"/>
    <w:rsid w:val="005E27D7"/>
    <w:rsid w:val="005E2BE1"/>
    <w:rsid w:val="005E2DC5"/>
    <w:rsid w:val="005E31EF"/>
    <w:rsid w:val="005E37D2"/>
    <w:rsid w:val="005E3FAC"/>
    <w:rsid w:val="005E43BD"/>
    <w:rsid w:val="005E4F47"/>
    <w:rsid w:val="005E5096"/>
    <w:rsid w:val="005E54F9"/>
    <w:rsid w:val="005E5A04"/>
    <w:rsid w:val="005E5A98"/>
    <w:rsid w:val="005E5CE2"/>
    <w:rsid w:val="005E5FE1"/>
    <w:rsid w:val="005E64F2"/>
    <w:rsid w:val="005E67BB"/>
    <w:rsid w:val="005E6BEA"/>
    <w:rsid w:val="005F06BE"/>
    <w:rsid w:val="005F0A07"/>
    <w:rsid w:val="005F0D34"/>
    <w:rsid w:val="005F0FDD"/>
    <w:rsid w:val="005F15DF"/>
    <w:rsid w:val="005F1663"/>
    <w:rsid w:val="005F1AB5"/>
    <w:rsid w:val="005F1BF1"/>
    <w:rsid w:val="005F1D48"/>
    <w:rsid w:val="005F1F93"/>
    <w:rsid w:val="005F2183"/>
    <w:rsid w:val="005F26D9"/>
    <w:rsid w:val="005F2822"/>
    <w:rsid w:val="005F44CB"/>
    <w:rsid w:val="005F4861"/>
    <w:rsid w:val="005F613B"/>
    <w:rsid w:val="005F79FB"/>
    <w:rsid w:val="006005FD"/>
    <w:rsid w:val="006014F1"/>
    <w:rsid w:val="00601FD8"/>
    <w:rsid w:val="00603014"/>
    <w:rsid w:val="006043D7"/>
    <w:rsid w:val="0060540B"/>
    <w:rsid w:val="00605E07"/>
    <w:rsid w:val="006065FB"/>
    <w:rsid w:val="0060678A"/>
    <w:rsid w:val="006068A2"/>
    <w:rsid w:val="006069E9"/>
    <w:rsid w:val="00606C9F"/>
    <w:rsid w:val="00606CA8"/>
    <w:rsid w:val="00607072"/>
    <w:rsid w:val="00607256"/>
    <w:rsid w:val="00610083"/>
    <w:rsid w:val="006105B0"/>
    <w:rsid w:val="00610604"/>
    <w:rsid w:val="00610804"/>
    <w:rsid w:val="00610ADD"/>
    <w:rsid w:val="00610D1C"/>
    <w:rsid w:val="0061208B"/>
    <w:rsid w:val="00612090"/>
    <w:rsid w:val="006133A8"/>
    <w:rsid w:val="00613EAF"/>
    <w:rsid w:val="0061405A"/>
    <w:rsid w:val="006142BE"/>
    <w:rsid w:val="0061492C"/>
    <w:rsid w:val="00616EFD"/>
    <w:rsid w:val="006171CF"/>
    <w:rsid w:val="006171ED"/>
    <w:rsid w:val="00617428"/>
    <w:rsid w:val="00617D1C"/>
    <w:rsid w:val="00620709"/>
    <w:rsid w:val="00620909"/>
    <w:rsid w:val="00620A17"/>
    <w:rsid w:val="006210CB"/>
    <w:rsid w:val="00622414"/>
    <w:rsid w:val="0062377F"/>
    <w:rsid w:val="00623830"/>
    <w:rsid w:val="00623ABE"/>
    <w:rsid w:val="00623C30"/>
    <w:rsid w:val="006241C7"/>
    <w:rsid w:val="006245F0"/>
    <w:rsid w:val="00625B3E"/>
    <w:rsid w:val="00625E24"/>
    <w:rsid w:val="006260F8"/>
    <w:rsid w:val="006262AA"/>
    <w:rsid w:val="00626A6D"/>
    <w:rsid w:val="00626B72"/>
    <w:rsid w:val="00630EC9"/>
    <w:rsid w:val="006311A6"/>
    <w:rsid w:val="006311BB"/>
    <w:rsid w:val="00631D07"/>
    <w:rsid w:val="00631DBD"/>
    <w:rsid w:val="00632260"/>
    <w:rsid w:val="00632B1A"/>
    <w:rsid w:val="006330CA"/>
    <w:rsid w:val="006333E3"/>
    <w:rsid w:val="00634116"/>
    <w:rsid w:val="006353F1"/>
    <w:rsid w:val="00635511"/>
    <w:rsid w:val="006359D4"/>
    <w:rsid w:val="00636ADB"/>
    <w:rsid w:val="00636BA3"/>
    <w:rsid w:val="00636CE9"/>
    <w:rsid w:val="00637872"/>
    <w:rsid w:val="00640286"/>
    <w:rsid w:val="00643459"/>
    <w:rsid w:val="00643599"/>
    <w:rsid w:val="00643D09"/>
    <w:rsid w:val="00643FD7"/>
    <w:rsid w:val="006446A5"/>
    <w:rsid w:val="00645BC2"/>
    <w:rsid w:val="00645CB1"/>
    <w:rsid w:val="00646097"/>
    <w:rsid w:val="00646310"/>
    <w:rsid w:val="006464AB"/>
    <w:rsid w:val="006468AD"/>
    <w:rsid w:val="00647815"/>
    <w:rsid w:val="0064784F"/>
    <w:rsid w:val="00647ED8"/>
    <w:rsid w:val="00650080"/>
    <w:rsid w:val="00650B71"/>
    <w:rsid w:val="0065134D"/>
    <w:rsid w:val="0065161B"/>
    <w:rsid w:val="00651C8A"/>
    <w:rsid w:val="006524BD"/>
    <w:rsid w:val="00652731"/>
    <w:rsid w:val="00652B89"/>
    <w:rsid w:val="006532BC"/>
    <w:rsid w:val="0065367D"/>
    <w:rsid w:val="00653ED6"/>
    <w:rsid w:val="0065425D"/>
    <w:rsid w:val="006547AB"/>
    <w:rsid w:val="00654926"/>
    <w:rsid w:val="00654A67"/>
    <w:rsid w:val="00654D31"/>
    <w:rsid w:val="00655420"/>
    <w:rsid w:val="00655D31"/>
    <w:rsid w:val="00656576"/>
    <w:rsid w:val="006565C4"/>
    <w:rsid w:val="00656F5B"/>
    <w:rsid w:val="0066056D"/>
    <w:rsid w:val="006612CC"/>
    <w:rsid w:val="006613ED"/>
    <w:rsid w:val="00661679"/>
    <w:rsid w:val="00661B67"/>
    <w:rsid w:val="00662579"/>
    <w:rsid w:val="006633B2"/>
    <w:rsid w:val="0066488B"/>
    <w:rsid w:val="00664DF6"/>
    <w:rsid w:val="00665732"/>
    <w:rsid w:val="00666E5C"/>
    <w:rsid w:val="00667270"/>
    <w:rsid w:val="0067026A"/>
    <w:rsid w:val="00670716"/>
    <w:rsid w:val="006713B1"/>
    <w:rsid w:val="00671562"/>
    <w:rsid w:val="006715D8"/>
    <w:rsid w:val="00671F62"/>
    <w:rsid w:val="00672030"/>
    <w:rsid w:val="00673251"/>
    <w:rsid w:val="00673A88"/>
    <w:rsid w:val="00673B8C"/>
    <w:rsid w:val="00675B37"/>
    <w:rsid w:val="00675D6C"/>
    <w:rsid w:val="00676025"/>
    <w:rsid w:val="0067647F"/>
    <w:rsid w:val="006768C2"/>
    <w:rsid w:val="00676D33"/>
    <w:rsid w:val="00676D4D"/>
    <w:rsid w:val="00677061"/>
    <w:rsid w:val="00677100"/>
    <w:rsid w:val="006771FB"/>
    <w:rsid w:val="00677765"/>
    <w:rsid w:val="0067777E"/>
    <w:rsid w:val="00677827"/>
    <w:rsid w:val="00680430"/>
    <w:rsid w:val="00680806"/>
    <w:rsid w:val="00680C18"/>
    <w:rsid w:val="006810F1"/>
    <w:rsid w:val="006814D2"/>
    <w:rsid w:val="006816E6"/>
    <w:rsid w:val="00681BE3"/>
    <w:rsid w:val="00682139"/>
    <w:rsid w:val="00682773"/>
    <w:rsid w:val="006828E9"/>
    <w:rsid w:val="00682970"/>
    <w:rsid w:val="00683436"/>
    <w:rsid w:val="006834C1"/>
    <w:rsid w:val="0068361A"/>
    <w:rsid w:val="00683F8E"/>
    <w:rsid w:val="00684223"/>
    <w:rsid w:val="00684407"/>
    <w:rsid w:val="00684B24"/>
    <w:rsid w:val="00684DF5"/>
    <w:rsid w:val="00685374"/>
    <w:rsid w:val="00685B9B"/>
    <w:rsid w:val="00685CEE"/>
    <w:rsid w:val="006862B7"/>
    <w:rsid w:val="006863C7"/>
    <w:rsid w:val="006863D8"/>
    <w:rsid w:val="00686DB8"/>
    <w:rsid w:val="00687CA1"/>
    <w:rsid w:val="006903FC"/>
    <w:rsid w:val="00691D13"/>
    <w:rsid w:val="00691D47"/>
    <w:rsid w:val="00692BCC"/>
    <w:rsid w:val="00692F88"/>
    <w:rsid w:val="0069373A"/>
    <w:rsid w:val="00693A86"/>
    <w:rsid w:val="00693D81"/>
    <w:rsid w:val="0069491D"/>
    <w:rsid w:val="006950F3"/>
    <w:rsid w:val="00695955"/>
    <w:rsid w:val="00696B1C"/>
    <w:rsid w:val="006979C5"/>
    <w:rsid w:val="00697A9F"/>
    <w:rsid w:val="00697D85"/>
    <w:rsid w:val="00697DCC"/>
    <w:rsid w:val="006A042C"/>
    <w:rsid w:val="006A059D"/>
    <w:rsid w:val="006A0DE1"/>
    <w:rsid w:val="006A19F4"/>
    <w:rsid w:val="006A25D8"/>
    <w:rsid w:val="006A27AC"/>
    <w:rsid w:val="006A2EC2"/>
    <w:rsid w:val="006A33DC"/>
    <w:rsid w:val="006A38B9"/>
    <w:rsid w:val="006A4D08"/>
    <w:rsid w:val="006A54DF"/>
    <w:rsid w:val="006A5637"/>
    <w:rsid w:val="006A567D"/>
    <w:rsid w:val="006A6895"/>
    <w:rsid w:val="006A7ABA"/>
    <w:rsid w:val="006B14B9"/>
    <w:rsid w:val="006B166D"/>
    <w:rsid w:val="006B18DD"/>
    <w:rsid w:val="006B1D16"/>
    <w:rsid w:val="006B2391"/>
    <w:rsid w:val="006B280F"/>
    <w:rsid w:val="006B36BF"/>
    <w:rsid w:val="006B3D4B"/>
    <w:rsid w:val="006B4126"/>
    <w:rsid w:val="006B432E"/>
    <w:rsid w:val="006B4F63"/>
    <w:rsid w:val="006B5045"/>
    <w:rsid w:val="006B6F09"/>
    <w:rsid w:val="006B710C"/>
    <w:rsid w:val="006B73AB"/>
    <w:rsid w:val="006B77E6"/>
    <w:rsid w:val="006B7A88"/>
    <w:rsid w:val="006C1494"/>
    <w:rsid w:val="006C1D6C"/>
    <w:rsid w:val="006C2668"/>
    <w:rsid w:val="006C392F"/>
    <w:rsid w:val="006C3F96"/>
    <w:rsid w:val="006C44A8"/>
    <w:rsid w:val="006C503C"/>
    <w:rsid w:val="006C55AD"/>
    <w:rsid w:val="006C5AD2"/>
    <w:rsid w:val="006C5D20"/>
    <w:rsid w:val="006C6692"/>
    <w:rsid w:val="006C690C"/>
    <w:rsid w:val="006C7B18"/>
    <w:rsid w:val="006D058A"/>
    <w:rsid w:val="006D05A3"/>
    <w:rsid w:val="006D0BC5"/>
    <w:rsid w:val="006D0DF2"/>
    <w:rsid w:val="006D17CF"/>
    <w:rsid w:val="006D1B3E"/>
    <w:rsid w:val="006D264A"/>
    <w:rsid w:val="006D2818"/>
    <w:rsid w:val="006D3533"/>
    <w:rsid w:val="006D3B37"/>
    <w:rsid w:val="006D3B60"/>
    <w:rsid w:val="006D4618"/>
    <w:rsid w:val="006D49DC"/>
    <w:rsid w:val="006D5053"/>
    <w:rsid w:val="006D6066"/>
    <w:rsid w:val="006D60B4"/>
    <w:rsid w:val="006D69EA"/>
    <w:rsid w:val="006D774A"/>
    <w:rsid w:val="006D77B3"/>
    <w:rsid w:val="006E022F"/>
    <w:rsid w:val="006E1E17"/>
    <w:rsid w:val="006E209A"/>
    <w:rsid w:val="006E2253"/>
    <w:rsid w:val="006E2383"/>
    <w:rsid w:val="006E23C9"/>
    <w:rsid w:val="006E2BC4"/>
    <w:rsid w:val="006E3494"/>
    <w:rsid w:val="006E3E2A"/>
    <w:rsid w:val="006E3FBE"/>
    <w:rsid w:val="006E483C"/>
    <w:rsid w:val="006E49BB"/>
    <w:rsid w:val="006E562B"/>
    <w:rsid w:val="006E6281"/>
    <w:rsid w:val="006E6745"/>
    <w:rsid w:val="006E72BA"/>
    <w:rsid w:val="006E7508"/>
    <w:rsid w:val="006E79C4"/>
    <w:rsid w:val="006E79D1"/>
    <w:rsid w:val="006F073F"/>
    <w:rsid w:val="006F0898"/>
    <w:rsid w:val="006F0B7B"/>
    <w:rsid w:val="006F14E9"/>
    <w:rsid w:val="006F2E76"/>
    <w:rsid w:val="006F40FC"/>
    <w:rsid w:val="006F42F1"/>
    <w:rsid w:val="006F4357"/>
    <w:rsid w:val="006F4E90"/>
    <w:rsid w:val="006F58B4"/>
    <w:rsid w:val="006F5E52"/>
    <w:rsid w:val="006F6117"/>
    <w:rsid w:val="006F6390"/>
    <w:rsid w:val="006F6588"/>
    <w:rsid w:val="006F6975"/>
    <w:rsid w:val="006F6BC8"/>
    <w:rsid w:val="0070029E"/>
    <w:rsid w:val="00700640"/>
    <w:rsid w:val="00700B48"/>
    <w:rsid w:val="00700C62"/>
    <w:rsid w:val="00700F48"/>
    <w:rsid w:val="00702AAE"/>
    <w:rsid w:val="00702CA9"/>
    <w:rsid w:val="007034BB"/>
    <w:rsid w:val="00704B7F"/>
    <w:rsid w:val="00705D44"/>
    <w:rsid w:val="00705DD3"/>
    <w:rsid w:val="007069A5"/>
    <w:rsid w:val="007100E2"/>
    <w:rsid w:val="00710887"/>
    <w:rsid w:val="00710C47"/>
    <w:rsid w:val="007136A7"/>
    <w:rsid w:val="007137D0"/>
    <w:rsid w:val="007140E4"/>
    <w:rsid w:val="007144C9"/>
    <w:rsid w:val="007146FB"/>
    <w:rsid w:val="00714882"/>
    <w:rsid w:val="007155AF"/>
    <w:rsid w:val="00715841"/>
    <w:rsid w:val="00715B1A"/>
    <w:rsid w:val="00716212"/>
    <w:rsid w:val="00716707"/>
    <w:rsid w:val="00716A5B"/>
    <w:rsid w:val="00716EE0"/>
    <w:rsid w:val="00716F19"/>
    <w:rsid w:val="0071768A"/>
    <w:rsid w:val="00717D41"/>
    <w:rsid w:val="00720A81"/>
    <w:rsid w:val="00721B77"/>
    <w:rsid w:val="00721BC1"/>
    <w:rsid w:val="00723458"/>
    <w:rsid w:val="00724350"/>
    <w:rsid w:val="00725D01"/>
    <w:rsid w:val="007264DC"/>
    <w:rsid w:val="00726ACC"/>
    <w:rsid w:val="00726C84"/>
    <w:rsid w:val="0072732E"/>
    <w:rsid w:val="007279A2"/>
    <w:rsid w:val="00727C82"/>
    <w:rsid w:val="007301A4"/>
    <w:rsid w:val="00730853"/>
    <w:rsid w:val="00730F55"/>
    <w:rsid w:val="00731752"/>
    <w:rsid w:val="007330C2"/>
    <w:rsid w:val="00733A2A"/>
    <w:rsid w:val="00733C11"/>
    <w:rsid w:val="0073464A"/>
    <w:rsid w:val="00735495"/>
    <w:rsid w:val="00735C42"/>
    <w:rsid w:val="00735DAD"/>
    <w:rsid w:val="00736494"/>
    <w:rsid w:val="00737110"/>
    <w:rsid w:val="007374EE"/>
    <w:rsid w:val="007376D9"/>
    <w:rsid w:val="0074021E"/>
    <w:rsid w:val="007404A7"/>
    <w:rsid w:val="007408BD"/>
    <w:rsid w:val="007418A9"/>
    <w:rsid w:val="007419B7"/>
    <w:rsid w:val="00741DB1"/>
    <w:rsid w:val="007420F7"/>
    <w:rsid w:val="0074332E"/>
    <w:rsid w:val="007434AD"/>
    <w:rsid w:val="007434C3"/>
    <w:rsid w:val="00743FF1"/>
    <w:rsid w:val="007444DE"/>
    <w:rsid w:val="00744943"/>
    <w:rsid w:val="00744D8B"/>
    <w:rsid w:val="00745873"/>
    <w:rsid w:val="00745EA7"/>
    <w:rsid w:val="0074605B"/>
    <w:rsid w:val="007464AC"/>
    <w:rsid w:val="00746C43"/>
    <w:rsid w:val="00746F1C"/>
    <w:rsid w:val="007474BF"/>
    <w:rsid w:val="0074778D"/>
    <w:rsid w:val="00747A14"/>
    <w:rsid w:val="00750672"/>
    <w:rsid w:val="00751425"/>
    <w:rsid w:val="00751AF9"/>
    <w:rsid w:val="0075323A"/>
    <w:rsid w:val="00753602"/>
    <w:rsid w:val="00753E5B"/>
    <w:rsid w:val="00754FA8"/>
    <w:rsid w:val="0075554E"/>
    <w:rsid w:val="0075576F"/>
    <w:rsid w:val="00755B0F"/>
    <w:rsid w:val="00756529"/>
    <w:rsid w:val="00756CA8"/>
    <w:rsid w:val="007576A4"/>
    <w:rsid w:val="007578A2"/>
    <w:rsid w:val="007611D4"/>
    <w:rsid w:val="00761CE1"/>
    <w:rsid w:val="00761F46"/>
    <w:rsid w:val="007622A2"/>
    <w:rsid w:val="00762BC1"/>
    <w:rsid w:val="00763124"/>
    <w:rsid w:val="00763184"/>
    <w:rsid w:val="00763A43"/>
    <w:rsid w:val="0076516E"/>
    <w:rsid w:val="00765A2B"/>
    <w:rsid w:val="00765B51"/>
    <w:rsid w:val="00767022"/>
    <w:rsid w:val="0077137B"/>
    <w:rsid w:val="00771CED"/>
    <w:rsid w:val="00771F1A"/>
    <w:rsid w:val="0077213E"/>
    <w:rsid w:val="0077309A"/>
    <w:rsid w:val="00773218"/>
    <w:rsid w:val="00773D6C"/>
    <w:rsid w:val="00773DB3"/>
    <w:rsid w:val="00773F67"/>
    <w:rsid w:val="0077465C"/>
    <w:rsid w:val="007754EA"/>
    <w:rsid w:val="0077577C"/>
    <w:rsid w:val="00775998"/>
    <w:rsid w:val="007763F5"/>
    <w:rsid w:val="00776557"/>
    <w:rsid w:val="00776AA7"/>
    <w:rsid w:val="0077721D"/>
    <w:rsid w:val="00777DC5"/>
    <w:rsid w:val="007808B3"/>
    <w:rsid w:val="00781273"/>
    <w:rsid w:val="00781416"/>
    <w:rsid w:val="007829E6"/>
    <w:rsid w:val="00783BC9"/>
    <w:rsid w:val="00783C63"/>
    <w:rsid w:val="007843F2"/>
    <w:rsid w:val="00786E75"/>
    <w:rsid w:val="00787B22"/>
    <w:rsid w:val="00787E3C"/>
    <w:rsid w:val="0079018F"/>
    <w:rsid w:val="0079082D"/>
    <w:rsid w:val="0079139B"/>
    <w:rsid w:val="007931C7"/>
    <w:rsid w:val="0079333C"/>
    <w:rsid w:val="007937AA"/>
    <w:rsid w:val="00793A70"/>
    <w:rsid w:val="00795714"/>
    <w:rsid w:val="007962E2"/>
    <w:rsid w:val="00796C68"/>
    <w:rsid w:val="00797D7F"/>
    <w:rsid w:val="007A1A16"/>
    <w:rsid w:val="007A1D87"/>
    <w:rsid w:val="007A26BB"/>
    <w:rsid w:val="007A3BF8"/>
    <w:rsid w:val="007A3D55"/>
    <w:rsid w:val="007A4BAA"/>
    <w:rsid w:val="007A4FC1"/>
    <w:rsid w:val="007A62F7"/>
    <w:rsid w:val="007A6413"/>
    <w:rsid w:val="007A6DF3"/>
    <w:rsid w:val="007A714E"/>
    <w:rsid w:val="007A77E9"/>
    <w:rsid w:val="007B04C4"/>
    <w:rsid w:val="007B09B0"/>
    <w:rsid w:val="007B13E8"/>
    <w:rsid w:val="007B165C"/>
    <w:rsid w:val="007B199D"/>
    <w:rsid w:val="007B332A"/>
    <w:rsid w:val="007B38FC"/>
    <w:rsid w:val="007B4010"/>
    <w:rsid w:val="007B404F"/>
    <w:rsid w:val="007B43A6"/>
    <w:rsid w:val="007B4ED6"/>
    <w:rsid w:val="007B514B"/>
    <w:rsid w:val="007B55F3"/>
    <w:rsid w:val="007B5F3E"/>
    <w:rsid w:val="007B620A"/>
    <w:rsid w:val="007B7DD2"/>
    <w:rsid w:val="007C02DE"/>
    <w:rsid w:val="007C0F6B"/>
    <w:rsid w:val="007C1116"/>
    <w:rsid w:val="007C12C9"/>
    <w:rsid w:val="007C1C40"/>
    <w:rsid w:val="007C2100"/>
    <w:rsid w:val="007C2326"/>
    <w:rsid w:val="007C2929"/>
    <w:rsid w:val="007C395E"/>
    <w:rsid w:val="007C3F2D"/>
    <w:rsid w:val="007C41E8"/>
    <w:rsid w:val="007C5436"/>
    <w:rsid w:val="007C543D"/>
    <w:rsid w:val="007C5979"/>
    <w:rsid w:val="007C59B3"/>
    <w:rsid w:val="007C5AD4"/>
    <w:rsid w:val="007C627C"/>
    <w:rsid w:val="007C6ADF"/>
    <w:rsid w:val="007C6DBB"/>
    <w:rsid w:val="007C6E72"/>
    <w:rsid w:val="007C7C32"/>
    <w:rsid w:val="007D04D6"/>
    <w:rsid w:val="007D0AF8"/>
    <w:rsid w:val="007D0E8F"/>
    <w:rsid w:val="007D157F"/>
    <w:rsid w:val="007D44F2"/>
    <w:rsid w:val="007D4BF0"/>
    <w:rsid w:val="007D540E"/>
    <w:rsid w:val="007D6644"/>
    <w:rsid w:val="007D6D9C"/>
    <w:rsid w:val="007D7813"/>
    <w:rsid w:val="007E0089"/>
    <w:rsid w:val="007E0CBF"/>
    <w:rsid w:val="007E13C6"/>
    <w:rsid w:val="007E15D6"/>
    <w:rsid w:val="007E2084"/>
    <w:rsid w:val="007E2F07"/>
    <w:rsid w:val="007E3342"/>
    <w:rsid w:val="007E3D3E"/>
    <w:rsid w:val="007E3DF6"/>
    <w:rsid w:val="007E4874"/>
    <w:rsid w:val="007E5354"/>
    <w:rsid w:val="007E568F"/>
    <w:rsid w:val="007E5836"/>
    <w:rsid w:val="007E5F95"/>
    <w:rsid w:val="007E5FD4"/>
    <w:rsid w:val="007E737C"/>
    <w:rsid w:val="007E7A89"/>
    <w:rsid w:val="007F04E4"/>
    <w:rsid w:val="007F0700"/>
    <w:rsid w:val="007F1874"/>
    <w:rsid w:val="007F2EAD"/>
    <w:rsid w:val="007F2F09"/>
    <w:rsid w:val="007F34CC"/>
    <w:rsid w:val="007F3BD0"/>
    <w:rsid w:val="007F470F"/>
    <w:rsid w:val="007F4CAD"/>
    <w:rsid w:val="007F4F46"/>
    <w:rsid w:val="007F522A"/>
    <w:rsid w:val="007F5419"/>
    <w:rsid w:val="00800279"/>
    <w:rsid w:val="008003E4"/>
    <w:rsid w:val="00801A07"/>
    <w:rsid w:val="0080220D"/>
    <w:rsid w:val="0080287D"/>
    <w:rsid w:val="008043EE"/>
    <w:rsid w:val="00804AF2"/>
    <w:rsid w:val="00804C48"/>
    <w:rsid w:val="00804CB2"/>
    <w:rsid w:val="00805390"/>
    <w:rsid w:val="00805922"/>
    <w:rsid w:val="00806218"/>
    <w:rsid w:val="008068A3"/>
    <w:rsid w:val="00806BAF"/>
    <w:rsid w:val="0080748B"/>
    <w:rsid w:val="00807EC7"/>
    <w:rsid w:val="0081005C"/>
    <w:rsid w:val="0081188B"/>
    <w:rsid w:val="00812369"/>
    <w:rsid w:val="00812BE8"/>
    <w:rsid w:val="00813A98"/>
    <w:rsid w:val="00813B5A"/>
    <w:rsid w:val="00813E20"/>
    <w:rsid w:val="008144FA"/>
    <w:rsid w:val="008145FC"/>
    <w:rsid w:val="008156BA"/>
    <w:rsid w:val="00816A96"/>
    <w:rsid w:val="00817188"/>
    <w:rsid w:val="0081748A"/>
    <w:rsid w:val="00817A2C"/>
    <w:rsid w:val="0082038E"/>
    <w:rsid w:val="00820B17"/>
    <w:rsid w:val="00820B82"/>
    <w:rsid w:val="00820BD8"/>
    <w:rsid w:val="00820F7B"/>
    <w:rsid w:val="008218DE"/>
    <w:rsid w:val="008229B3"/>
    <w:rsid w:val="00822A9C"/>
    <w:rsid w:val="008232C1"/>
    <w:rsid w:val="00823C74"/>
    <w:rsid w:val="00824403"/>
    <w:rsid w:val="008245C5"/>
    <w:rsid w:val="0082558B"/>
    <w:rsid w:val="008259D0"/>
    <w:rsid w:val="008263E0"/>
    <w:rsid w:val="00826A72"/>
    <w:rsid w:val="0082702F"/>
    <w:rsid w:val="008303FC"/>
    <w:rsid w:val="00830703"/>
    <w:rsid w:val="008322C2"/>
    <w:rsid w:val="00832887"/>
    <w:rsid w:val="00832A71"/>
    <w:rsid w:val="00834410"/>
    <w:rsid w:val="008353EC"/>
    <w:rsid w:val="00835DF8"/>
    <w:rsid w:val="0083686E"/>
    <w:rsid w:val="008377A5"/>
    <w:rsid w:val="00837E12"/>
    <w:rsid w:val="0084072B"/>
    <w:rsid w:val="008411F0"/>
    <w:rsid w:val="00841D9C"/>
    <w:rsid w:val="00842278"/>
    <w:rsid w:val="00842934"/>
    <w:rsid w:val="00843188"/>
    <w:rsid w:val="00843C78"/>
    <w:rsid w:val="008446A7"/>
    <w:rsid w:val="00844D9C"/>
    <w:rsid w:val="00844E8D"/>
    <w:rsid w:val="008454D2"/>
    <w:rsid w:val="00845FD9"/>
    <w:rsid w:val="008466A9"/>
    <w:rsid w:val="00846C2E"/>
    <w:rsid w:val="00846E4B"/>
    <w:rsid w:val="008470B7"/>
    <w:rsid w:val="008473F4"/>
    <w:rsid w:val="0084745C"/>
    <w:rsid w:val="008517FB"/>
    <w:rsid w:val="00852646"/>
    <w:rsid w:val="00852C06"/>
    <w:rsid w:val="008533E3"/>
    <w:rsid w:val="008539FC"/>
    <w:rsid w:val="00853AC4"/>
    <w:rsid w:val="0085426D"/>
    <w:rsid w:val="0085463D"/>
    <w:rsid w:val="0085478E"/>
    <w:rsid w:val="00854902"/>
    <w:rsid w:val="008551B1"/>
    <w:rsid w:val="008552E2"/>
    <w:rsid w:val="0085668A"/>
    <w:rsid w:val="00857C34"/>
    <w:rsid w:val="00857F0B"/>
    <w:rsid w:val="00860A5B"/>
    <w:rsid w:val="00860B77"/>
    <w:rsid w:val="00860CD9"/>
    <w:rsid w:val="00861909"/>
    <w:rsid w:val="00861A7A"/>
    <w:rsid w:val="00862DEF"/>
    <w:rsid w:val="008630D9"/>
    <w:rsid w:val="008634B7"/>
    <w:rsid w:val="00863D86"/>
    <w:rsid w:val="00864C7B"/>
    <w:rsid w:val="0086706C"/>
    <w:rsid w:val="00870327"/>
    <w:rsid w:val="00870565"/>
    <w:rsid w:val="00870C49"/>
    <w:rsid w:val="00871311"/>
    <w:rsid w:val="008720C1"/>
    <w:rsid w:val="008720DC"/>
    <w:rsid w:val="00872B9D"/>
    <w:rsid w:val="00873400"/>
    <w:rsid w:val="00873B78"/>
    <w:rsid w:val="008741A8"/>
    <w:rsid w:val="008742BD"/>
    <w:rsid w:val="00875301"/>
    <w:rsid w:val="00875F99"/>
    <w:rsid w:val="00875FBA"/>
    <w:rsid w:val="00876937"/>
    <w:rsid w:val="00876961"/>
    <w:rsid w:val="00876E23"/>
    <w:rsid w:val="00877C4D"/>
    <w:rsid w:val="00880B64"/>
    <w:rsid w:val="00880F90"/>
    <w:rsid w:val="0088106A"/>
    <w:rsid w:val="00882C5D"/>
    <w:rsid w:val="00882D2A"/>
    <w:rsid w:val="008831FE"/>
    <w:rsid w:val="008837A9"/>
    <w:rsid w:val="008842A7"/>
    <w:rsid w:val="008842DA"/>
    <w:rsid w:val="00884A5A"/>
    <w:rsid w:val="008855EA"/>
    <w:rsid w:val="00886579"/>
    <w:rsid w:val="008866B7"/>
    <w:rsid w:val="00886C01"/>
    <w:rsid w:val="0088711C"/>
    <w:rsid w:val="008901A1"/>
    <w:rsid w:val="00890243"/>
    <w:rsid w:val="00891105"/>
    <w:rsid w:val="00891DCD"/>
    <w:rsid w:val="00893398"/>
    <w:rsid w:val="008942FE"/>
    <w:rsid w:val="00895745"/>
    <w:rsid w:val="00895AF5"/>
    <w:rsid w:val="008961B5"/>
    <w:rsid w:val="008962E6"/>
    <w:rsid w:val="00896511"/>
    <w:rsid w:val="00896F81"/>
    <w:rsid w:val="0089735C"/>
    <w:rsid w:val="008977CF"/>
    <w:rsid w:val="008979E3"/>
    <w:rsid w:val="00897B50"/>
    <w:rsid w:val="008A05E7"/>
    <w:rsid w:val="008A089B"/>
    <w:rsid w:val="008A0E3F"/>
    <w:rsid w:val="008A16E9"/>
    <w:rsid w:val="008A32FE"/>
    <w:rsid w:val="008A370D"/>
    <w:rsid w:val="008A3DB7"/>
    <w:rsid w:val="008A557A"/>
    <w:rsid w:val="008A5BA1"/>
    <w:rsid w:val="008A7720"/>
    <w:rsid w:val="008A7B4D"/>
    <w:rsid w:val="008B004D"/>
    <w:rsid w:val="008B00B3"/>
    <w:rsid w:val="008B0764"/>
    <w:rsid w:val="008B0CC1"/>
    <w:rsid w:val="008B0F7B"/>
    <w:rsid w:val="008B357C"/>
    <w:rsid w:val="008B3E33"/>
    <w:rsid w:val="008B5E66"/>
    <w:rsid w:val="008B6D8C"/>
    <w:rsid w:val="008B6F37"/>
    <w:rsid w:val="008B7384"/>
    <w:rsid w:val="008B7791"/>
    <w:rsid w:val="008B7A31"/>
    <w:rsid w:val="008B7E63"/>
    <w:rsid w:val="008C0382"/>
    <w:rsid w:val="008C0556"/>
    <w:rsid w:val="008C0795"/>
    <w:rsid w:val="008C0C7A"/>
    <w:rsid w:val="008C1913"/>
    <w:rsid w:val="008C1F1A"/>
    <w:rsid w:val="008C1FBE"/>
    <w:rsid w:val="008C2135"/>
    <w:rsid w:val="008C2F2F"/>
    <w:rsid w:val="008C2F99"/>
    <w:rsid w:val="008C3A06"/>
    <w:rsid w:val="008C43C1"/>
    <w:rsid w:val="008C43F3"/>
    <w:rsid w:val="008C52BD"/>
    <w:rsid w:val="008C52D6"/>
    <w:rsid w:val="008C5459"/>
    <w:rsid w:val="008C5C7A"/>
    <w:rsid w:val="008C6355"/>
    <w:rsid w:val="008C755E"/>
    <w:rsid w:val="008D1321"/>
    <w:rsid w:val="008D142A"/>
    <w:rsid w:val="008D1E1E"/>
    <w:rsid w:val="008D22D6"/>
    <w:rsid w:val="008D258C"/>
    <w:rsid w:val="008D2B5D"/>
    <w:rsid w:val="008D31BB"/>
    <w:rsid w:val="008D3530"/>
    <w:rsid w:val="008D36E8"/>
    <w:rsid w:val="008D38E4"/>
    <w:rsid w:val="008D46AE"/>
    <w:rsid w:val="008D471D"/>
    <w:rsid w:val="008D4AE5"/>
    <w:rsid w:val="008D5A13"/>
    <w:rsid w:val="008D5A86"/>
    <w:rsid w:val="008D5D76"/>
    <w:rsid w:val="008D6804"/>
    <w:rsid w:val="008D7953"/>
    <w:rsid w:val="008D7F86"/>
    <w:rsid w:val="008D7FEA"/>
    <w:rsid w:val="008E11D4"/>
    <w:rsid w:val="008E1497"/>
    <w:rsid w:val="008E1688"/>
    <w:rsid w:val="008E1740"/>
    <w:rsid w:val="008E2601"/>
    <w:rsid w:val="008E2942"/>
    <w:rsid w:val="008E2C08"/>
    <w:rsid w:val="008E2CD5"/>
    <w:rsid w:val="008E2DC6"/>
    <w:rsid w:val="008E2F1A"/>
    <w:rsid w:val="008E2F48"/>
    <w:rsid w:val="008E336A"/>
    <w:rsid w:val="008E3A5A"/>
    <w:rsid w:val="008E3C3B"/>
    <w:rsid w:val="008E3C5B"/>
    <w:rsid w:val="008E4270"/>
    <w:rsid w:val="008E436F"/>
    <w:rsid w:val="008E4D0B"/>
    <w:rsid w:val="008E65D5"/>
    <w:rsid w:val="008E6AA1"/>
    <w:rsid w:val="008E6C53"/>
    <w:rsid w:val="008E6D09"/>
    <w:rsid w:val="008E6E6E"/>
    <w:rsid w:val="008E7451"/>
    <w:rsid w:val="008E7FA0"/>
    <w:rsid w:val="008F0DD5"/>
    <w:rsid w:val="008F1E89"/>
    <w:rsid w:val="008F21AD"/>
    <w:rsid w:val="008F3548"/>
    <w:rsid w:val="008F3E4B"/>
    <w:rsid w:val="008F460F"/>
    <w:rsid w:val="008F4C7B"/>
    <w:rsid w:val="008F5488"/>
    <w:rsid w:val="008F56DC"/>
    <w:rsid w:val="008F6DB5"/>
    <w:rsid w:val="008F7A6B"/>
    <w:rsid w:val="009006D2"/>
    <w:rsid w:val="009006E8"/>
    <w:rsid w:val="009010B0"/>
    <w:rsid w:val="009017C6"/>
    <w:rsid w:val="00901997"/>
    <w:rsid w:val="00901CB4"/>
    <w:rsid w:val="009030C4"/>
    <w:rsid w:val="009037E0"/>
    <w:rsid w:val="00904273"/>
    <w:rsid w:val="0090678F"/>
    <w:rsid w:val="00906A40"/>
    <w:rsid w:val="00906D5D"/>
    <w:rsid w:val="00906F2F"/>
    <w:rsid w:val="00907A7C"/>
    <w:rsid w:val="00907CEB"/>
    <w:rsid w:val="00907F31"/>
    <w:rsid w:val="00910186"/>
    <w:rsid w:val="00911CE6"/>
    <w:rsid w:val="00912A64"/>
    <w:rsid w:val="0091311D"/>
    <w:rsid w:val="009138DE"/>
    <w:rsid w:val="00913B33"/>
    <w:rsid w:val="0091405E"/>
    <w:rsid w:val="00914428"/>
    <w:rsid w:val="00915B80"/>
    <w:rsid w:val="009167FD"/>
    <w:rsid w:val="00916E88"/>
    <w:rsid w:val="00917ABD"/>
    <w:rsid w:val="00920E1B"/>
    <w:rsid w:val="0092159A"/>
    <w:rsid w:val="009226CC"/>
    <w:rsid w:val="00923155"/>
    <w:rsid w:val="00923AAA"/>
    <w:rsid w:val="009250F1"/>
    <w:rsid w:val="0092531C"/>
    <w:rsid w:val="00925387"/>
    <w:rsid w:val="00925801"/>
    <w:rsid w:val="00925A4F"/>
    <w:rsid w:val="009260D7"/>
    <w:rsid w:val="00926307"/>
    <w:rsid w:val="00926318"/>
    <w:rsid w:val="009264F0"/>
    <w:rsid w:val="009268F3"/>
    <w:rsid w:val="009279B0"/>
    <w:rsid w:val="00930735"/>
    <w:rsid w:val="00931210"/>
    <w:rsid w:val="00931ABD"/>
    <w:rsid w:val="009321AB"/>
    <w:rsid w:val="009328B1"/>
    <w:rsid w:val="00932E78"/>
    <w:rsid w:val="00932F1A"/>
    <w:rsid w:val="00933FDC"/>
    <w:rsid w:val="00934348"/>
    <w:rsid w:val="00934459"/>
    <w:rsid w:val="009356F5"/>
    <w:rsid w:val="00935BCE"/>
    <w:rsid w:val="009363C0"/>
    <w:rsid w:val="00936858"/>
    <w:rsid w:val="00936E19"/>
    <w:rsid w:val="00936EBD"/>
    <w:rsid w:val="0093713F"/>
    <w:rsid w:val="00937CE0"/>
    <w:rsid w:val="00937D15"/>
    <w:rsid w:val="00940C7F"/>
    <w:rsid w:val="00940E53"/>
    <w:rsid w:val="009413D7"/>
    <w:rsid w:val="00941A93"/>
    <w:rsid w:val="009423CD"/>
    <w:rsid w:val="00942831"/>
    <w:rsid w:val="0094341D"/>
    <w:rsid w:val="00943EA5"/>
    <w:rsid w:val="00944C5F"/>
    <w:rsid w:val="00944C8C"/>
    <w:rsid w:val="009451B4"/>
    <w:rsid w:val="0094532C"/>
    <w:rsid w:val="00945763"/>
    <w:rsid w:val="00946114"/>
    <w:rsid w:val="00946385"/>
    <w:rsid w:val="00946535"/>
    <w:rsid w:val="00947558"/>
    <w:rsid w:val="0095045A"/>
    <w:rsid w:val="0095136C"/>
    <w:rsid w:val="00951935"/>
    <w:rsid w:val="009524FA"/>
    <w:rsid w:val="009528CC"/>
    <w:rsid w:val="00953C99"/>
    <w:rsid w:val="00954C0C"/>
    <w:rsid w:val="00954E0C"/>
    <w:rsid w:val="00954EF6"/>
    <w:rsid w:val="00955DA1"/>
    <w:rsid w:val="00955E03"/>
    <w:rsid w:val="00956791"/>
    <w:rsid w:val="0095739B"/>
    <w:rsid w:val="00960A8E"/>
    <w:rsid w:val="00960AA5"/>
    <w:rsid w:val="00960FF5"/>
    <w:rsid w:val="00961FB3"/>
    <w:rsid w:val="009629BB"/>
    <w:rsid w:val="00962AC3"/>
    <w:rsid w:val="0096344A"/>
    <w:rsid w:val="009634B3"/>
    <w:rsid w:val="00963BC8"/>
    <w:rsid w:val="009642B6"/>
    <w:rsid w:val="009659A8"/>
    <w:rsid w:val="0096658A"/>
    <w:rsid w:val="00966A99"/>
    <w:rsid w:val="009676C9"/>
    <w:rsid w:val="009700CD"/>
    <w:rsid w:val="0097037B"/>
    <w:rsid w:val="00970731"/>
    <w:rsid w:val="00970E13"/>
    <w:rsid w:val="00971257"/>
    <w:rsid w:val="0097141F"/>
    <w:rsid w:val="009714B0"/>
    <w:rsid w:val="009718BD"/>
    <w:rsid w:val="009722BD"/>
    <w:rsid w:val="00972365"/>
    <w:rsid w:val="00972528"/>
    <w:rsid w:val="00972DAE"/>
    <w:rsid w:val="00973012"/>
    <w:rsid w:val="009739AD"/>
    <w:rsid w:val="00974A12"/>
    <w:rsid w:val="00974BD4"/>
    <w:rsid w:val="00974E18"/>
    <w:rsid w:val="0097512B"/>
    <w:rsid w:val="00975336"/>
    <w:rsid w:val="009754E8"/>
    <w:rsid w:val="0097599E"/>
    <w:rsid w:val="00975D5A"/>
    <w:rsid w:val="00975ED8"/>
    <w:rsid w:val="00975FD1"/>
    <w:rsid w:val="00976DBF"/>
    <w:rsid w:val="009778CD"/>
    <w:rsid w:val="00977AF9"/>
    <w:rsid w:val="00980274"/>
    <w:rsid w:val="0098071C"/>
    <w:rsid w:val="00981C25"/>
    <w:rsid w:val="009829EF"/>
    <w:rsid w:val="00983A22"/>
    <w:rsid w:val="0098443A"/>
    <w:rsid w:val="00984AB7"/>
    <w:rsid w:val="0098565E"/>
    <w:rsid w:val="00985985"/>
    <w:rsid w:val="0098681F"/>
    <w:rsid w:val="0098740F"/>
    <w:rsid w:val="00991FB1"/>
    <w:rsid w:val="00992929"/>
    <w:rsid w:val="009930D0"/>
    <w:rsid w:val="0099333E"/>
    <w:rsid w:val="009935B2"/>
    <w:rsid w:val="00994017"/>
    <w:rsid w:val="009940D8"/>
    <w:rsid w:val="009955E9"/>
    <w:rsid w:val="00995A09"/>
    <w:rsid w:val="00995BDE"/>
    <w:rsid w:val="00995CB9"/>
    <w:rsid w:val="00997106"/>
    <w:rsid w:val="00997BF6"/>
    <w:rsid w:val="00997CB1"/>
    <w:rsid w:val="009A01B7"/>
    <w:rsid w:val="009A01C6"/>
    <w:rsid w:val="009A04A3"/>
    <w:rsid w:val="009A1686"/>
    <w:rsid w:val="009A28BC"/>
    <w:rsid w:val="009A2D2A"/>
    <w:rsid w:val="009A2DFC"/>
    <w:rsid w:val="009A3177"/>
    <w:rsid w:val="009A31A8"/>
    <w:rsid w:val="009A4F3F"/>
    <w:rsid w:val="009A522F"/>
    <w:rsid w:val="009A579D"/>
    <w:rsid w:val="009A5F55"/>
    <w:rsid w:val="009A60F1"/>
    <w:rsid w:val="009A62E3"/>
    <w:rsid w:val="009A66A8"/>
    <w:rsid w:val="009A6E5F"/>
    <w:rsid w:val="009A6EE1"/>
    <w:rsid w:val="009A7D60"/>
    <w:rsid w:val="009B027B"/>
    <w:rsid w:val="009B0ABB"/>
    <w:rsid w:val="009B0D4C"/>
    <w:rsid w:val="009B1572"/>
    <w:rsid w:val="009B1C91"/>
    <w:rsid w:val="009B28B6"/>
    <w:rsid w:val="009B2E74"/>
    <w:rsid w:val="009B3272"/>
    <w:rsid w:val="009B33DE"/>
    <w:rsid w:val="009B3417"/>
    <w:rsid w:val="009B356E"/>
    <w:rsid w:val="009B3B07"/>
    <w:rsid w:val="009B3D2F"/>
    <w:rsid w:val="009B4C42"/>
    <w:rsid w:val="009B5488"/>
    <w:rsid w:val="009B5730"/>
    <w:rsid w:val="009B5B10"/>
    <w:rsid w:val="009B61C2"/>
    <w:rsid w:val="009B68B6"/>
    <w:rsid w:val="009B6AFB"/>
    <w:rsid w:val="009B748F"/>
    <w:rsid w:val="009B7644"/>
    <w:rsid w:val="009C05CD"/>
    <w:rsid w:val="009C0780"/>
    <w:rsid w:val="009C19DA"/>
    <w:rsid w:val="009C212A"/>
    <w:rsid w:val="009C2D56"/>
    <w:rsid w:val="009C2DDC"/>
    <w:rsid w:val="009C3133"/>
    <w:rsid w:val="009C3B07"/>
    <w:rsid w:val="009C43F9"/>
    <w:rsid w:val="009C4B1E"/>
    <w:rsid w:val="009C4EF5"/>
    <w:rsid w:val="009C5CC2"/>
    <w:rsid w:val="009C5E5F"/>
    <w:rsid w:val="009C6141"/>
    <w:rsid w:val="009C61B1"/>
    <w:rsid w:val="009C64E7"/>
    <w:rsid w:val="009C6F4C"/>
    <w:rsid w:val="009D0288"/>
    <w:rsid w:val="009D0464"/>
    <w:rsid w:val="009D0DB7"/>
    <w:rsid w:val="009D1185"/>
    <w:rsid w:val="009D1DD8"/>
    <w:rsid w:val="009D23DB"/>
    <w:rsid w:val="009D2D15"/>
    <w:rsid w:val="009D2F22"/>
    <w:rsid w:val="009D308F"/>
    <w:rsid w:val="009D40E5"/>
    <w:rsid w:val="009D4587"/>
    <w:rsid w:val="009D505A"/>
    <w:rsid w:val="009D5D76"/>
    <w:rsid w:val="009D7626"/>
    <w:rsid w:val="009D780B"/>
    <w:rsid w:val="009D7E1B"/>
    <w:rsid w:val="009E0FD1"/>
    <w:rsid w:val="009E18D2"/>
    <w:rsid w:val="009E1F33"/>
    <w:rsid w:val="009E1F65"/>
    <w:rsid w:val="009E2633"/>
    <w:rsid w:val="009E3399"/>
    <w:rsid w:val="009E4051"/>
    <w:rsid w:val="009E528F"/>
    <w:rsid w:val="009E54D0"/>
    <w:rsid w:val="009E63B2"/>
    <w:rsid w:val="009E673C"/>
    <w:rsid w:val="009E679E"/>
    <w:rsid w:val="009E6993"/>
    <w:rsid w:val="009E75F7"/>
    <w:rsid w:val="009E7845"/>
    <w:rsid w:val="009E7B8E"/>
    <w:rsid w:val="009F076D"/>
    <w:rsid w:val="009F096C"/>
    <w:rsid w:val="009F0BB3"/>
    <w:rsid w:val="009F11ED"/>
    <w:rsid w:val="009F16D8"/>
    <w:rsid w:val="009F20B5"/>
    <w:rsid w:val="009F239F"/>
    <w:rsid w:val="009F254F"/>
    <w:rsid w:val="009F286F"/>
    <w:rsid w:val="009F2DB2"/>
    <w:rsid w:val="009F4015"/>
    <w:rsid w:val="009F47A1"/>
    <w:rsid w:val="009F5486"/>
    <w:rsid w:val="009F5CFC"/>
    <w:rsid w:val="009F6D6D"/>
    <w:rsid w:val="009F735A"/>
    <w:rsid w:val="009F79E7"/>
    <w:rsid w:val="009F7C56"/>
    <w:rsid w:val="009F7EDE"/>
    <w:rsid w:val="00A00315"/>
    <w:rsid w:val="00A0031A"/>
    <w:rsid w:val="00A0138B"/>
    <w:rsid w:val="00A01E25"/>
    <w:rsid w:val="00A02045"/>
    <w:rsid w:val="00A03121"/>
    <w:rsid w:val="00A03266"/>
    <w:rsid w:val="00A03F09"/>
    <w:rsid w:val="00A043A6"/>
    <w:rsid w:val="00A04570"/>
    <w:rsid w:val="00A04C87"/>
    <w:rsid w:val="00A04D5B"/>
    <w:rsid w:val="00A04E6B"/>
    <w:rsid w:val="00A10331"/>
    <w:rsid w:val="00A10D1C"/>
    <w:rsid w:val="00A1154F"/>
    <w:rsid w:val="00A122C6"/>
    <w:rsid w:val="00A125EE"/>
    <w:rsid w:val="00A133DA"/>
    <w:rsid w:val="00A13EBC"/>
    <w:rsid w:val="00A14431"/>
    <w:rsid w:val="00A14AC9"/>
    <w:rsid w:val="00A1520C"/>
    <w:rsid w:val="00A15C8A"/>
    <w:rsid w:val="00A16817"/>
    <w:rsid w:val="00A16990"/>
    <w:rsid w:val="00A16C29"/>
    <w:rsid w:val="00A16E14"/>
    <w:rsid w:val="00A17000"/>
    <w:rsid w:val="00A1712B"/>
    <w:rsid w:val="00A17EE6"/>
    <w:rsid w:val="00A203E2"/>
    <w:rsid w:val="00A20803"/>
    <w:rsid w:val="00A20B68"/>
    <w:rsid w:val="00A21A9E"/>
    <w:rsid w:val="00A21D83"/>
    <w:rsid w:val="00A22611"/>
    <w:rsid w:val="00A22D6B"/>
    <w:rsid w:val="00A23037"/>
    <w:rsid w:val="00A23F46"/>
    <w:rsid w:val="00A246B6"/>
    <w:rsid w:val="00A24FA6"/>
    <w:rsid w:val="00A25558"/>
    <w:rsid w:val="00A26805"/>
    <w:rsid w:val="00A2792C"/>
    <w:rsid w:val="00A27CE7"/>
    <w:rsid w:val="00A27FD5"/>
    <w:rsid w:val="00A30B92"/>
    <w:rsid w:val="00A3147B"/>
    <w:rsid w:val="00A319E0"/>
    <w:rsid w:val="00A32D03"/>
    <w:rsid w:val="00A33563"/>
    <w:rsid w:val="00A33C10"/>
    <w:rsid w:val="00A34CA3"/>
    <w:rsid w:val="00A3548B"/>
    <w:rsid w:val="00A35497"/>
    <w:rsid w:val="00A35DBF"/>
    <w:rsid w:val="00A37089"/>
    <w:rsid w:val="00A378A9"/>
    <w:rsid w:val="00A37974"/>
    <w:rsid w:val="00A40A37"/>
    <w:rsid w:val="00A40EA5"/>
    <w:rsid w:val="00A41504"/>
    <w:rsid w:val="00A42820"/>
    <w:rsid w:val="00A430AD"/>
    <w:rsid w:val="00A43555"/>
    <w:rsid w:val="00A439AB"/>
    <w:rsid w:val="00A444DD"/>
    <w:rsid w:val="00A44E0D"/>
    <w:rsid w:val="00A457D6"/>
    <w:rsid w:val="00A45820"/>
    <w:rsid w:val="00A46CC9"/>
    <w:rsid w:val="00A46F0C"/>
    <w:rsid w:val="00A472BE"/>
    <w:rsid w:val="00A472D7"/>
    <w:rsid w:val="00A52377"/>
    <w:rsid w:val="00A530AB"/>
    <w:rsid w:val="00A5419F"/>
    <w:rsid w:val="00A55DB4"/>
    <w:rsid w:val="00A5612F"/>
    <w:rsid w:val="00A56BC7"/>
    <w:rsid w:val="00A604DF"/>
    <w:rsid w:val="00A60F9D"/>
    <w:rsid w:val="00A612AF"/>
    <w:rsid w:val="00A614E2"/>
    <w:rsid w:val="00A615D6"/>
    <w:rsid w:val="00A616EC"/>
    <w:rsid w:val="00A61DCE"/>
    <w:rsid w:val="00A61FFF"/>
    <w:rsid w:val="00A62CF0"/>
    <w:rsid w:val="00A62F82"/>
    <w:rsid w:val="00A63157"/>
    <w:rsid w:val="00A63FC7"/>
    <w:rsid w:val="00A643E8"/>
    <w:rsid w:val="00A64D66"/>
    <w:rsid w:val="00A6508C"/>
    <w:rsid w:val="00A65354"/>
    <w:rsid w:val="00A661FD"/>
    <w:rsid w:val="00A66402"/>
    <w:rsid w:val="00A66970"/>
    <w:rsid w:val="00A66A80"/>
    <w:rsid w:val="00A66D71"/>
    <w:rsid w:val="00A66DF3"/>
    <w:rsid w:val="00A66E47"/>
    <w:rsid w:val="00A66E54"/>
    <w:rsid w:val="00A66F46"/>
    <w:rsid w:val="00A67C9A"/>
    <w:rsid w:val="00A70780"/>
    <w:rsid w:val="00A70D3C"/>
    <w:rsid w:val="00A711EF"/>
    <w:rsid w:val="00A718E1"/>
    <w:rsid w:val="00A71D50"/>
    <w:rsid w:val="00A72F86"/>
    <w:rsid w:val="00A73277"/>
    <w:rsid w:val="00A73918"/>
    <w:rsid w:val="00A73F92"/>
    <w:rsid w:val="00A74112"/>
    <w:rsid w:val="00A74B1B"/>
    <w:rsid w:val="00A74E29"/>
    <w:rsid w:val="00A7529E"/>
    <w:rsid w:val="00A763B0"/>
    <w:rsid w:val="00A7656C"/>
    <w:rsid w:val="00A767ED"/>
    <w:rsid w:val="00A768DE"/>
    <w:rsid w:val="00A7730B"/>
    <w:rsid w:val="00A80273"/>
    <w:rsid w:val="00A802F6"/>
    <w:rsid w:val="00A8071D"/>
    <w:rsid w:val="00A8081B"/>
    <w:rsid w:val="00A818D3"/>
    <w:rsid w:val="00A819DD"/>
    <w:rsid w:val="00A81DFD"/>
    <w:rsid w:val="00A828A5"/>
    <w:rsid w:val="00A8314B"/>
    <w:rsid w:val="00A8331A"/>
    <w:rsid w:val="00A83378"/>
    <w:rsid w:val="00A833F6"/>
    <w:rsid w:val="00A85578"/>
    <w:rsid w:val="00A85B6D"/>
    <w:rsid w:val="00A86977"/>
    <w:rsid w:val="00A86DF4"/>
    <w:rsid w:val="00A91F56"/>
    <w:rsid w:val="00A9261B"/>
    <w:rsid w:val="00A92689"/>
    <w:rsid w:val="00A93605"/>
    <w:rsid w:val="00A93725"/>
    <w:rsid w:val="00A94833"/>
    <w:rsid w:val="00A94F9D"/>
    <w:rsid w:val="00A95396"/>
    <w:rsid w:val="00A957EF"/>
    <w:rsid w:val="00A968AD"/>
    <w:rsid w:val="00A97ED0"/>
    <w:rsid w:val="00AA0690"/>
    <w:rsid w:val="00AA0EEB"/>
    <w:rsid w:val="00AA1256"/>
    <w:rsid w:val="00AA13E7"/>
    <w:rsid w:val="00AA1761"/>
    <w:rsid w:val="00AA19B3"/>
    <w:rsid w:val="00AA1C52"/>
    <w:rsid w:val="00AA2279"/>
    <w:rsid w:val="00AA22E4"/>
    <w:rsid w:val="00AA25C4"/>
    <w:rsid w:val="00AA2C0B"/>
    <w:rsid w:val="00AA36AE"/>
    <w:rsid w:val="00AA36BE"/>
    <w:rsid w:val="00AA3B25"/>
    <w:rsid w:val="00AA3F49"/>
    <w:rsid w:val="00AA4E5E"/>
    <w:rsid w:val="00AA5900"/>
    <w:rsid w:val="00AA5B80"/>
    <w:rsid w:val="00AA737E"/>
    <w:rsid w:val="00AA7538"/>
    <w:rsid w:val="00AA7F54"/>
    <w:rsid w:val="00AB0C4D"/>
    <w:rsid w:val="00AB0ED0"/>
    <w:rsid w:val="00AB10E9"/>
    <w:rsid w:val="00AB1309"/>
    <w:rsid w:val="00AB2162"/>
    <w:rsid w:val="00AB23DE"/>
    <w:rsid w:val="00AB2569"/>
    <w:rsid w:val="00AB4639"/>
    <w:rsid w:val="00AB4FB6"/>
    <w:rsid w:val="00AB68DE"/>
    <w:rsid w:val="00AB756A"/>
    <w:rsid w:val="00AB7C5D"/>
    <w:rsid w:val="00AC04FD"/>
    <w:rsid w:val="00AC0596"/>
    <w:rsid w:val="00AC0F04"/>
    <w:rsid w:val="00AC1613"/>
    <w:rsid w:val="00AC1ED1"/>
    <w:rsid w:val="00AC2A41"/>
    <w:rsid w:val="00AC374F"/>
    <w:rsid w:val="00AC3815"/>
    <w:rsid w:val="00AC41FC"/>
    <w:rsid w:val="00AC43EE"/>
    <w:rsid w:val="00AC4C9E"/>
    <w:rsid w:val="00AC4FB8"/>
    <w:rsid w:val="00AC686C"/>
    <w:rsid w:val="00AC71C7"/>
    <w:rsid w:val="00AC7249"/>
    <w:rsid w:val="00AC7BED"/>
    <w:rsid w:val="00AC7C05"/>
    <w:rsid w:val="00AD03A0"/>
    <w:rsid w:val="00AD0E38"/>
    <w:rsid w:val="00AD1396"/>
    <w:rsid w:val="00AD1622"/>
    <w:rsid w:val="00AD16D0"/>
    <w:rsid w:val="00AD1C4D"/>
    <w:rsid w:val="00AD1D56"/>
    <w:rsid w:val="00AD213F"/>
    <w:rsid w:val="00AD25A1"/>
    <w:rsid w:val="00AD28B9"/>
    <w:rsid w:val="00AD2935"/>
    <w:rsid w:val="00AD2CC1"/>
    <w:rsid w:val="00AD343C"/>
    <w:rsid w:val="00AD3C18"/>
    <w:rsid w:val="00AD43F9"/>
    <w:rsid w:val="00AD79C5"/>
    <w:rsid w:val="00AD7B03"/>
    <w:rsid w:val="00AD7E3E"/>
    <w:rsid w:val="00AD7FF7"/>
    <w:rsid w:val="00AE0123"/>
    <w:rsid w:val="00AE123F"/>
    <w:rsid w:val="00AE15FA"/>
    <w:rsid w:val="00AE2851"/>
    <w:rsid w:val="00AE2E74"/>
    <w:rsid w:val="00AE3225"/>
    <w:rsid w:val="00AE37C9"/>
    <w:rsid w:val="00AE3A3E"/>
    <w:rsid w:val="00AE3C16"/>
    <w:rsid w:val="00AE515B"/>
    <w:rsid w:val="00AE52B9"/>
    <w:rsid w:val="00AE58F7"/>
    <w:rsid w:val="00AE5B26"/>
    <w:rsid w:val="00AE73C7"/>
    <w:rsid w:val="00AE73D2"/>
    <w:rsid w:val="00AF041E"/>
    <w:rsid w:val="00AF1160"/>
    <w:rsid w:val="00AF13CE"/>
    <w:rsid w:val="00AF1844"/>
    <w:rsid w:val="00AF1DF6"/>
    <w:rsid w:val="00AF2568"/>
    <w:rsid w:val="00AF257A"/>
    <w:rsid w:val="00AF3E00"/>
    <w:rsid w:val="00AF5B6B"/>
    <w:rsid w:val="00AF5B7B"/>
    <w:rsid w:val="00AF5BBD"/>
    <w:rsid w:val="00AF7370"/>
    <w:rsid w:val="00AF7608"/>
    <w:rsid w:val="00AF782D"/>
    <w:rsid w:val="00AF7DEF"/>
    <w:rsid w:val="00B002D4"/>
    <w:rsid w:val="00B00427"/>
    <w:rsid w:val="00B006F1"/>
    <w:rsid w:val="00B0093E"/>
    <w:rsid w:val="00B01BEF"/>
    <w:rsid w:val="00B022A8"/>
    <w:rsid w:val="00B02E9E"/>
    <w:rsid w:val="00B0358F"/>
    <w:rsid w:val="00B03E5A"/>
    <w:rsid w:val="00B03FC2"/>
    <w:rsid w:val="00B05325"/>
    <w:rsid w:val="00B05A19"/>
    <w:rsid w:val="00B05A99"/>
    <w:rsid w:val="00B05CFF"/>
    <w:rsid w:val="00B05EDF"/>
    <w:rsid w:val="00B067FF"/>
    <w:rsid w:val="00B06DB2"/>
    <w:rsid w:val="00B06DB9"/>
    <w:rsid w:val="00B0762F"/>
    <w:rsid w:val="00B07CFF"/>
    <w:rsid w:val="00B07F27"/>
    <w:rsid w:val="00B101BB"/>
    <w:rsid w:val="00B10543"/>
    <w:rsid w:val="00B10C66"/>
    <w:rsid w:val="00B10E7E"/>
    <w:rsid w:val="00B11323"/>
    <w:rsid w:val="00B1141A"/>
    <w:rsid w:val="00B116D7"/>
    <w:rsid w:val="00B11818"/>
    <w:rsid w:val="00B1259B"/>
    <w:rsid w:val="00B12670"/>
    <w:rsid w:val="00B12BB0"/>
    <w:rsid w:val="00B143F2"/>
    <w:rsid w:val="00B16489"/>
    <w:rsid w:val="00B16750"/>
    <w:rsid w:val="00B168AF"/>
    <w:rsid w:val="00B1733F"/>
    <w:rsid w:val="00B204D1"/>
    <w:rsid w:val="00B206D1"/>
    <w:rsid w:val="00B20712"/>
    <w:rsid w:val="00B20716"/>
    <w:rsid w:val="00B21C4C"/>
    <w:rsid w:val="00B21CC5"/>
    <w:rsid w:val="00B22A7D"/>
    <w:rsid w:val="00B22F47"/>
    <w:rsid w:val="00B2333D"/>
    <w:rsid w:val="00B23362"/>
    <w:rsid w:val="00B2416B"/>
    <w:rsid w:val="00B25783"/>
    <w:rsid w:val="00B2589C"/>
    <w:rsid w:val="00B25BAF"/>
    <w:rsid w:val="00B266DB"/>
    <w:rsid w:val="00B26FC9"/>
    <w:rsid w:val="00B27819"/>
    <w:rsid w:val="00B27D7A"/>
    <w:rsid w:val="00B307A0"/>
    <w:rsid w:val="00B30B0A"/>
    <w:rsid w:val="00B30FA5"/>
    <w:rsid w:val="00B3114F"/>
    <w:rsid w:val="00B3144D"/>
    <w:rsid w:val="00B31495"/>
    <w:rsid w:val="00B31508"/>
    <w:rsid w:val="00B317D3"/>
    <w:rsid w:val="00B31BF5"/>
    <w:rsid w:val="00B31DD8"/>
    <w:rsid w:val="00B325B8"/>
    <w:rsid w:val="00B32CC2"/>
    <w:rsid w:val="00B341D7"/>
    <w:rsid w:val="00B3438A"/>
    <w:rsid w:val="00B34959"/>
    <w:rsid w:val="00B35B49"/>
    <w:rsid w:val="00B36A5A"/>
    <w:rsid w:val="00B36A70"/>
    <w:rsid w:val="00B379BA"/>
    <w:rsid w:val="00B406D8"/>
    <w:rsid w:val="00B40750"/>
    <w:rsid w:val="00B40A50"/>
    <w:rsid w:val="00B40AFF"/>
    <w:rsid w:val="00B40D82"/>
    <w:rsid w:val="00B40F54"/>
    <w:rsid w:val="00B40F79"/>
    <w:rsid w:val="00B410EA"/>
    <w:rsid w:val="00B41631"/>
    <w:rsid w:val="00B42327"/>
    <w:rsid w:val="00B42FB1"/>
    <w:rsid w:val="00B42FC2"/>
    <w:rsid w:val="00B435A0"/>
    <w:rsid w:val="00B43C37"/>
    <w:rsid w:val="00B44DF9"/>
    <w:rsid w:val="00B44E51"/>
    <w:rsid w:val="00B450E6"/>
    <w:rsid w:val="00B45314"/>
    <w:rsid w:val="00B45AD1"/>
    <w:rsid w:val="00B45F01"/>
    <w:rsid w:val="00B464C7"/>
    <w:rsid w:val="00B4660C"/>
    <w:rsid w:val="00B46EBE"/>
    <w:rsid w:val="00B47100"/>
    <w:rsid w:val="00B47DF6"/>
    <w:rsid w:val="00B502F5"/>
    <w:rsid w:val="00B50365"/>
    <w:rsid w:val="00B50739"/>
    <w:rsid w:val="00B50AC2"/>
    <w:rsid w:val="00B51263"/>
    <w:rsid w:val="00B51931"/>
    <w:rsid w:val="00B52775"/>
    <w:rsid w:val="00B52792"/>
    <w:rsid w:val="00B5299E"/>
    <w:rsid w:val="00B530C8"/>
    <w:rsid w:val="00B53647"/>
    <w:rsid w:val="00B53B6A"/>
    <w:rsid w:val="00B53F0F"/>
    <w:rsid w:val="00B55426"/>
    <w:rsid w:val="00B56CB8"/>
    <w:rsid w:val="00B62BDB"/>
    <w:rsid w:val="00B62CAB"/>
    <w:rsid w:val="00B63055"/>
    <w:rsid w:val="00B630EF"/>
    <w:rsid w:val="00B63566"/>
    <w:rsid w:val="00B635D6"/>
    <w:rsid w:val="00B63BC7"/>
    <w:rsid w:val="00B65B53"/>
    <w:rsid w:val="00B66186"/>
    <w:rsid w:val="00B668DA"/>
    <w:rsid w:val="00B6700A"/>
    <w:rsid w:val="00B675E9"/>
    <w:rsid w:val="00B677B2"/>
    <w:rsid w:val="00B67C09"/>
    <w:rsid w:val="00B67C63"/>
    <w:rsid w:val="00B67FB7"/>
    <w:rsid w:val="00B70649"/>
    <w:rsid w:val="00B70916"/>
    <w:rsid w:val="00B72294"/>
    <w:rsid w:val="00B7272A"/>
    <w:rsid w:val="00B72BA8"/>
    <w:rsid w:val="00B7361C"/>
    <w:rsid w:val="00B7389D"/>
    <w:rsid w:val="00B73D97"/>
    <w:rsid w:val="00B7412F"/>
    <w:rsid w:val="00B74DA0"/>
    <w:rsid w:val="00B75A76"/>
    <w:rsid w:val="00B76C3D"/>
    <w:rsid w:val="00B77EBB"/>
    <w:rsid w:val="00B8231B"/>
    <w:rsid w:val="00B825D4"/>
    <w:rsid w:val="00B82AD0"/>
    <w:rsid w:val="00B83E54"/>
    <w:rsid w:val="00B83E70"/>
    <w:rsid w:val="00B84365"/>
    <w:rsid w:val="00B850D8"/>
    <w:rsid w:val="00B86005"/>
    <w:rsid w:val="00B86572"/>
    <w:rsid w:val="00B9000C"/>
    <w:rsid w:val="00B90D75"/>
    <w:rsid w:val="00B90F5C"/>
    <w:rsid w:val="00B90F90"/>
    <w:rsid w:val="00B91153"/>
    <w:rsid w:val="00B914E9"/>
    <w:rsid w:val="00B91FFB"/>
    <w:rsid w:val="00B93854"/>
    <w:rsid w:val="00B938D0"/>
    <w:rsid w:val="00B947BB"/>
    <w:rsid w:val="00B94875"/>
    <w:rsid w:val="00B94A12"/>
    <w:rsid w:val="00B95753"/>
    <w:rsid w:val="00B95BAB"/>
    <w:rsid w:val="00B96390"/>
    <w:rsid w:val="00BA03F0"/>
    <w:rsid w:val="00BA0DA9"/>
    <w:rsid w:val="00BA1550"/>
    <w:rsid w:val="00BA15A9"/>
    <w:rsid w:val="00BA2410"/>
    <w:rsid w:val="00BA2D95"/>
    <w:rsid w:val="00BA3056"/>
    <w:rsid w:val="00BA3A5A"/>
    <w:rsid w:val="00BA4256"/>
    <w:rsid w:val="00BA451F"/>
    <w:rsid w:val="00BA45D5"/>
    <w:rsid w:val="00BA4678"/>
    <w:rsid w:val="00BA4CBD"/>
    <w:rsid w:val="00BA5253"/>
    <w:rsid w:val="00BA529A"/>
    <w:rsid w:val="00BA546E"/>
    <w:rsid w:val="00BA5C95"/>
    <w:rsid w:val="00BA6329"/>
    <w:rsid w:val="00BA673B"/>
    <w:rsid w:val="00BA68DE"/>
    <w:rsid w:val="00BA6BED"/>
    <w:rsid w:val="00BA6CA3"/>
    <w:rsid w:val="00BA6D96"/>
    <w:rsid w:val="00BA7ED5"/>
    <w:rsid w:val="00BB14BC"/>
    <w:rsid w:val="00BB1EFD"/>
    <w:rsid w:val="00BB20EC"/>
    <w:rsid w:val="00BB22AA"/>
    <w:rsid w:val="00BB2B31"/>
    <w:rsid w:val="00BB3920"/>
    <w:rsid w:val="00BB3BD5"/>
    <w:rsid w:val="00BB468E"/>
    <w:rsid w:val="00BB4756"/>
    <w:rsid w:val="00BB5808"/>
    <w:rsid w:val="00BB5C05"/>
    <w:rsid w:val="00BB6487"/>
    <w:rsid w:val="00BB67B9"/>
    <w:rsid w:val="00BB6AAB"/>
    <w:rsid w:val="00BB6D34"/>
    <w:rsid w:val="00BB6EB4"/>
    <w:rsid w:val="00BC0949"/>
    <w:rsid w:val="00BC0FCD"/>
    <w:rsid w:val="00BC1873"/>
    <w:rsid w:val="00BC323D"/>
    <w:rsid w:val="00BC3626"/>
    <w:rsid w:val="00BC3834"/>
    <w:rsid w:val="00BC39BD"/>
    <w:rsid w:val="00BC4FD3"/>
    <w:rsid w:val="00BC511B"/>
    <w:rsid w:val="00BC5540"/>
    <w:rsid w:val="00BC6A64"/>
    <w:rsid w:val="00BC7147"/>
    <w:rsid w:val="00BC7727"/>
    <w:rsid w:val="00BC7FD3"/>
    <w:rsid w:val="00BD0C87"/>
    <w:rsid w:val="00BD201C"/>
    <w:rsid w:val="00BD2958"/>
    <w:rsid w:val="00BD2B33"/>
    <w:rsid w:val="00BD36A0"/>
    <w:rsid w:val="00BD3832"/>
    <w:rsid w:val="00BD3B57"/>
    <w:rsid w:val="00BD42E6"/>
    <w:rsid w:val="00BD485B"/>
    <w:rsid w:val="00BD5F67"/>
    <w:rsid w:val="00BD64A1"/>
    <w:rsid w:val="00BD6622"/>
    <w:rsid w:val="00BD70D3"/>
    <w:rsid w:val="00BD7429"/>
    <w:rsid w:val="00BD76CF"/>
    <w:rsid w:val="00BD7859"/>
    <w:rsid w:val="00BD7CFC"/>
    <w:rsid w:val="00BE00CF"/>
    <w:rsid w:val="00BE0814"/>
    <w:rsid w:val="00BE1001"/>
    <w:rsid w:val="00BE1317"/>
    <w:rsid w:val="00BE162C"/>
    <w:rsid w:val="00BE2E8F"/>
    <w:rsid w:val="00BE2EBE"/>
    <w:rsid w:val="00BE3E63"/>
    <w:rsid w:val="00BE3F52"/>
    <w:rsid w:val="00BE475A"/>
    <w:rsid w:val="00BE4D19"/>
    <w:rsid w:val="00BE4FE1"/>
    <w:rsid w:val="00BE541F"/>
    <w:rsid w:val="00BE54BF"/>
    <w:rsid w:val="00BE586D"/>
    <w:rsid w:val="00BE5CED"/>
    <w:rsid w:val="00BF0064"/>
    <w:rsid w:val="00BF0A7A"/>
    <w:rsid w:val="00BF126F"/>
    <w:rsid w:val="00BF41F4"/>
    <w:rsid w:val="00BF4427"/>
    <w:rsid w:val="00BF59DC"/>
    <w:rsid w:val="00BF6159"/>
    <w:rsid w:val="00BF65FB"/>
    <w:rsid w:val="00BF6EBD"/>
    <w:rsid w:val="00BF6F6F"/>
    <w:rsid w:val="00C0089C"/>
    <w:rsid w:val="00C00D4E"/>
    <w:rsid w:val="00C01A45"/>
    <w:rsid w:val="00C01A98"/>
    <w:rsid w:val="00C03A55"/>
    <w:rsid w:val="00C03FF5"/>
    <w:rsid w:val="00C0400C"/>
    <w:rsid w:val="00C047FC"/>
    <w:rsid w:val="00C04EAB"/>
    <w:rsid w:val="00C06B14"/>
    <w:rsid w:val="00C06DE1"/>
    <w:rsid w:val="00C07142"/>
    <w:rsid w:val="00C07D26"/>
    <w:rsid w:val="00C07EDD"/>
    <w:rsid w:val="00C07FB0"/>
    <w:rsid w:val="00C1020A"/>
    <w:rsid w:val="00C10791"/>
    <w:rsid w:val="00C107E6"/>
    <w:rsid w:val="00C11700"/>
    <w:rsid w:val="00C11FB1"/>
    <w:rsid w:val="00C12C56"/>
    <w:rsid w:val="00C13087"/>
    <w:rsid w:val="00C1348D"/>
    <w:rsid w:val="00C142E9"/>
    <w:rsid w:val="00C14397"/>
    <w:rsid w:val="00C146B9"/>
    <w:rsid w:val="00C14E52"/>
    <w:rsid w:val="00C15AE8"/>
    <w:rsid w:val="00C16C8A"/>
    <w:rsid w:val="00C17234"/>
    <w:rsid w:val="00C17979"/>
    <w:rsid w:val="00C179BD"/>
    <w:rsid w:val="00C17CA0"/>
    <w:rsid w:val="00C17D19"/>
    <w:rsid w:val="00C20439"/>
    <w:rsid w:val="00C207FB"/>
    <w:rsid w:val="00C20930"/>
    <w:rsid w:val="00C20EFF"/>
    <w:rsid w:val="00C213FA"/>
    <w:rsid w:val="00C21497"/>
    <w:rsid w:val="00C21BCC"/>
    <w:rsid w:val="00C21E4B"/>
    <w:rsid w:val="00C22ECF"/>
    <w:rsid w:val="00C23A9A"/>
    <w:rsid w:val="00C25818"/>
    <w:rsid w:val="00C25C83"/>
    <w:rsid w:val="00C25E47"/>
    <w:rsid w:val="00C26112"/>
    <w:rsid w:val="00C278E6"/>
    <w:rsid w:val="00C312D6"/>
    <w:rsid w:val="00C31658"/>
    <w:rsid w:val="00C3192C"/>
    <w:rsid w:val="00C32185"/>
    <w:rsid w:val="00C3232B"/>
    <w:rsid w:val="00C33138"/>
    <w:rsid w:val="00C33E6A"/>
    <w:rsid w:val="00C3426D"/>
    <w:rsid w:val="00C3434F"/>
    <w:rsid w:val="00C34437"/>
    <w:rsid w:val="00C34659"/>
    <w:rsid w:val="00C35427"/>
    <w:rsid w:val="00C355AC"/>
    <w:rsid w:val="00C36401"/>
    <w:rsid w:val="00C3655E"/>
    <w:rsid w:val="00C36605"/>
    <w:rsid w:val="00C36776"/>
    <w:rsid w:val="00C371D0"/>
    <w:rsid w:val="00C372A3"/>
    <w:rsid w:val="00C40928"/>
    <w:rsid w:val="00C40C8F"/>
    <w:rsid w:val="00C44AEC"/>
    <w:rsid w:val="00C44F30"/>
    <w:rsid w:val="00C45536"/>
    <w:rsid w:val="00C45A0D"/>
    <w:rsid w:val="00C45FC7"/>
    <w:rsid w:val="00C47084"/>
    <w:rsid w:val="00C473CA"/>
    <w:rsid w:val="00C47C7F"/>
    <w:rsid w:val="00C47F5A"/>
    <w:rsid w:val="00C51750"/>
    <w:rsid w:val="00C521BA"/>
    <w:rsid w:val="00C52540"/>
    <w:rsid w:val="00C52555"/>
    <w:rsid w:val="00C52DB9"/>
    <w:rsid w:val="00C54EF2"/>
    <w:rsid w:val="00C553E2"/>
    <w:rsid w:val="00C561A3"/>
    <w:rsid w:val="00C5720F"/>
    <w:rsid w:val="00C57588"/>
    <w:rsid w:val="00C575CD"/>
    <w:rsid w:val="00C605F8"/>
    <w:rsid w:val="00C6077B"/>
    <w:rsid w:val="00C60F8A"/>
    <w:rsid w:val="00C61230"/>
    <w:rsid w:val="00C619A6"/>
    <w:rsid w:val="00C6202E"/>
    <w:rsid w:val="00C62171"/>
    <w:rsid w:val="00C62735"/>
    <w:rsid w:val="00C62C85"/>
    <w:rsid w:val="00C631C0"/>
    <w:rsid w:val="00C6337C"/>
    <w:rsid w:val="00C63D77"/>
    <w:rsid w:val="00C646F3"/>
    <w:rsid w:val="00C64763"/>
    <w:rsid w:val="00C648A5"/>
    <w:rsid w:val="00C65173"/>
    <w:rsid w:val="00C65C0D"/>
    <w:rsid w:val="00C65D67"/>
    <w:rsid w:val="00C660FD"/>
    <w:rsid w:val="00C66A2E"/>
    <w:rsid w:val="00C66AD8"/>
    <w:rsid w:val="00C66BF3"/>
    <w:rsid w:val="00C67748"/>
    <w:rsid w:val="00C67B86"/>
    <w:rsid w:val="00C704EF"/>
    <w:rsid w:val="00C70A14"/>
    <w:rsid w:val="00C70E03"/>
    <w:rsid w:val="00C70E70"/>
    <w:rsid w:val="00C70FC4"/>
    <w:rsid w:val="00C7111E"/>
    <w:rsid w:val="00C7121A"/>
    <w:rsid w:val="00C7151B"/>
    <w:rsid w:val="00C71B92"/>
    <w:rsid w:val="00C71BF1"/>
    <w:rsid w:val="00C723A1"/>
    <w:rsid w:val="00C72835"/>
    <w:rsid w:val="00C73696"/>
    <w:rsid w:val="00C73DDF"/>
    <w:rsid w:val="00C73E2E"/>
    <w:rsid w:val="00C73E81"/>
    <w:rsid w:val="00C7438F"/>
    <w:rsid w:val="00C74B27"/>
    <w:rsid w:val="00C7587B"/>
    <w:rsid w:val="00C766A9"/>
    <w:rsid w:val="00C77B43"/>
    <w:rsid w:val="00C77EF7"/>
    <w:rsid w:val="00C807BB"/>
    <w:rsid w:val="00C8086E"/>
    <w:rsid w:val="00C80B71"/>
    <w:rsid w:val="00C80E7E"/>
    <w:rsid w:val="00C80FD6"/>
    <w:rsid w:val="00C819D8"/>
    <w:rsid w:val="00C81CEC"/>
    <w:rsid w:val="00C828B9"/>
    <w:rsid w:val="00C82D55"/>
    <w:rsid w:val="00C82DB3"/>
    <w:rsid w:val="00C83311"/>
    <w:rsid w:val="00C83549"/>
    <w:rsid w:val="00C8390F"/>
    <w:rsid w:val="00C84470"/>
    <w:rsid w:val="00C8461A"/>
    <w:rsid w:val="00C84BD1"/>
    <w:rsid w:val="00C85E79"/>
    <w:rsid w:val="00C860BF"/>
    <w:rsid w:val="00C86CDD"/>
    <w:rsid w:val="00C87952"/>
    <w:rsid w:val="00C9014A"/>
    <w:rsid w:val="00C902B1"/>
    <w:rsid w:val="00C902FD"/>
    <w:rsid w:val="00C908F9"/>
    <w:rsid w:val="00C912F2"/>
    <w:rsid w:val="00C915BD"/>
    <w:rsid w:val="00C91608"/>
    <w:rsid w:val="00C917F6"/>
    <w:rsid w:val="00C92BCF"/>
    <w:rsid w:val="00C93344"/>
    <w:rsid w:val="00C93CD8"/>
    <w:rsid w:val="00C94C56"/>
    <w:rsid w:val="00C972E2"/>
    <w:rsid w:val="00C97C0D"/>
    <w:rsid w:val="00CA01A6"/>
    <w:rsid w:val="00CA0A1F"/>
    <w:rsid w:val="00CA0FBA"/>
    <w:rsid w:val="00CA19C7"/>
    <w:rsid w:val="00CA1E17"/>
    <w:rsid w:val="00CA1E1E"/>
    <w:rsid w:val="00CA2180"/>
    <w:rsid w:val="00CA224E"/>
    <w:rsid w:val="00CA28F9"/>
    <w:rsid w:val="00CA295B"/>
    <w:rsid w:val="00CA3CAE"/>
    <w:rsid w:val="00CA4198"/>
    <w:rsid w:val="00CA4615"/>
    <w:rsid w:val="00CA468A"/>
    <w:rsid w:val="00CA474F"/>
    <w:rsid w:val="00CA4B36"/>
    <w:rsid w:val="00CA5425"/>
    <w:rsid w:val="00CA5AB3"/>
    <w:rsid w:val="00CA5CE3"/>
    <w:rsid w:val="00CA6683"/>
    <w:rsid w:val="00CA72D0"/>
    <w:rsid w:val="00CB2106"/>
    <w:rsid w:val="00CB29CB"/>
    <w:rsid w:val="00CB36AA"/>
    <w:rsid w:val="00CB3835"/>
    <w:rsid w:val="00CB55B0"/>
    <w:rsid w:val="00CB60C1"/>
    <w:rsid w:val="00CB60F2"/>
    <w:rsid w:val="00CB64DE"/>
    <w:rsid w:val="00CB6ADB"/>
    <w:rsid w:val="00CB6C32"/>
    <w:rsid w:val="00CB75D7"/>
    <w:rsid w:val="00CB77FF"/>
    <w:rsid w:val="00CB78EF"/>
    <w:rsid w:val="00CB7BAE"/>
    <w:rsid w:val="00CB7CE9"/>
    <w:rsid w:val="00CC0540"/>
    <w:rsid w:val="00CC1CA7"/>
    <w:rsid w:val="00CC225C"/>
    <w:rsid w:val="00CC286C"/>
    <w:rsid w:val="00CC28A5"/>
    <w:rsid w:val="00CC3A83"/>
    <w:rsid w:val="00CC3D2C"/>
    <w:rsid w:val="00CC410A"/>
    <w:rsid w:val="00CC65F3"/>
    <w:rsid w:val="00CC6675"/>
    <w:rsid w:val="00CD0370"/>
    <w:rsid w:val="00CD03DA"/>
    <w:rsid w:val="00CD0460"/>
    <w:rsid w:val="00CD0E83"/>
    <w:rsid w:val="00CD12F5"/>
    <w:rsid w:val="00CD14AC"/>
    <w:rsid w:val="00CD15EF"/>
    <w:rsid w:val="00CD23A7"/>
    <w:rsid w:val="00CD2FFC"/>
    <w:rsid w:val="00CD350B"/>
    <w:rsid w:val="00CD3F70"/>
    <w:rsid w:val="00CD4A70"/>
    <w:rsid w:val="00CD5D92"/>
    <w:rsid w:val="00CD5E8E"/>
    <w:rsid w:val="00CD5EE3"/>
    <w:rsid w:val="00CD6644"/>
    <w:rsid w:val="00CD6EC9"/>
    <w:rsid w:val="00CD71A8"/>
    <w:rsid w:val="00CD7BD9"/>
    <w:rsid w:val="00CD7CCB"/>
    <w:rsid w:val="00CD7EE9"/>
    <w:rsid w:val="00CE0196"/>
    <w:rsid w:val="00CE0518"/>
    <w:rsid w:val="00CE1364"/>
    <w:rsid w:val="00CE1D11"/>
    <w:rsid w:val="00CE2276"/>
    <w:rsid w:val="00CE23F1"/>
    <w:rsid w:val="00CE265F"/>
    <w:rsid w:val="00CE2979"/>
    <w:rsid w:val="00CE2F3A"/>
    <w:rsid w:val="00CE331B"/>
    <w:rsid w:val="00CE47A6"/>
    <w:rsid w:val="00CE4D6A"/>
    <w:rsid w:val="00CE584C"/>
    <w:rsid w:val="00CE5D8D"/>
    <w:rsid w:val="00CE6029"/>
    <w:rsid w:val="00CE6A4F"/>
    <w:rsid w:val="00CF0741"/>
    <w:rsid w:val="00CF0CF8"/>
    <w:rsid w:val="00CF0D67"/>
    <w:rsid w:val="00CF19E4"/>
    <w:rsid w:val="00CF21CD"/>
    <w:rsid w:val="00CF266C"/>
    <w:rsid w:val="00CF2947"/>
    <w:rsid w:val="00CF32DD"/>
    <w:rsid w:val="00CF3884"/>
    <w:rsid w:val="00CF446E"/>
    <w:rsid w:val="00CF4A32"/>
    <w:rsid w:val="00CF56A7"/>
    <w:rsid w:val="00CF56CC"/>
    <w:rsid w:val="00CF5B00"/>
    <w:rsid w:val="00CF5B74"/>
    <w:rsid w:val="00CF6472"/>
    <w:rsid w:val="00CF68FD"/>
    <w:rsid w:val="00CF6991"/>
    <w:rsid w:val="00CF7215"/>
    <w:rsid w:val="00CF7371"/>
    <w:rsid w:val="00CF7636"/>
    <w:rsid w:val="00CF7B62"/>
    <w:rsid w:val="00D00D43"/>
    <w:rsid w:val="00D0287A"/>
    <w:rsid w:val="00D03526"/>
    <w:rsid w:val="00D043CD"/>
    <w:rsid w:val="00D04B7F"/>
    <w:rsid w:val="00D05F29"/>
    <w:rsid w:val="00D07303"/>
    <w:rsid w:val="00D07B16"/>
    <w:rsid w:val="00D07DB3"/>
    <w:rsid w:val="00D100AA"/>
    <w:rsid w:val="00D10472"/>
    <w:rsid w:val="00D12948"/>
    <w:rsid w:val="00D142FA"/>
    <w:rsid w:val="00D144DD"/>
    <w:rsid w:val="00D16749"/>
    <w:rsid w:val="00D16872"/>
    <w:rsid w:val="00D16C5A"/>
    <w:rsid w:val="00D16F96"/>
    <w:rsid w:val="00D2019E"/>
    <w:rsid w:val="00D2123E"/>
    <w:rsid w:val="00D2182B"/>
    <w:rsid w:val="00D21CEC"/>
    <w:rsid w:val="00D2235C"/>
    <w:rsid w:val="00D22558"/>
    <w:rsid w:val="00D241D4"/>
    <w:rsid w:val="00D24722"/>
    <w:rsid w:val="00D24917"/>
    <w:rsid w:val="00D24BD2"/>
    <w:rsid w:val="00D25533"/>
    <w:rsid w:val="00D25788"/>
    <w:rsid w:val="00D26865"/>
    <w:rsid w:val="00D26872"/>
    <w:rsid w:val="00D27930"/>
    <w:rsid w:val="00D279B7"/>
    <w:rsid w:val="00D30E9C"/>
    <w:rsid w:val="00D30EB1"/>
    <w:rsid w:val="00D319EF"/>
    <w:rsid w:val="00D31A25"/>
    <w:rsid w:val="00D31F9E"/>
    <w:rsid w:val="00D321C2"/>
    <w:rsid w:val="00D3296A"/>
    <w:rsid w:val="00D32EF5"/>
    <w:rsid w:val="00D3375F"/>
    <w:rsid w:val="00D33B18"/>
    <w:rsid w:val="00D33ECD"/>
    <w:rsid w:val="00D34069"/>
    <w:rsid w:val="00D355AC"/>
    <w:rsid w:val="00D37334"/>
    <w:rsid w:val="00D3746E"/>
    <w:rsid w:val="00D375F4"/>
    <w:rsid w:val="00D402A6"/>
    <w:rsid w:val="00D402AD"/>
    <w:rsid w:val="00D4067A"/>
    <w:rsid w:val="00D40EA5"/>
    <w:rsid w:val="00D41C26"/>
    <w:rsid w:val="00D423EA"/>
    <w:rsid w:val="00D430B6"/>
    <w:rsid w:val="00D43643"/>
    <w:rsid w:val="00D438B0"/>
    <w:rsid w:val="00D43E25"/>
    <w:rsid w:val="00D447BB"/>
    <w:rsid w:val="00D4505B"/>
    <w:rsid w:val="00D456AF"/>
    <w:rsid w:val="00D45887"/>
    <w:rsid w:val="00D465BE"/>
    <w:rsid w:val="00D473B8"/>
    <w:rsid w:val="00D47ADC"/>
    <w:rsid w:val="00D504C0"/>
    <w:rsid w:val="00D50D64"/>
    <w:rsid w:val="00D522A3"/>
    <w:rsid w:val="00D52EFA"/>
    <w:rsid w:val="00D5332B"/>
    <w:rsid w:val="00D53737"/>
    <w:rsid w:val="00D54871"/>
    <w:rsid w:val="00D5497B"/>
    <w:rsid w:val="00D54DB9"/>
    <w:rsid w:val="00D54FA1"/>
    <w:rsid w:val="00D55146"/>
    <w:rsid w:val="00D5602A"/>
    <w:rsid w:val="00D56494"/>
    <w:rsid w:val="00D57C35"/>
    <w:rsid w:val="00D601DA"/>
    <w:rsid w:val="00D61684"/>
    <w:rsid w:val="00D62528"/>
    <w:rsid w:val="00D631A9"/>
    <w:rsid w:val="00D63EFE"/>
    <w:rsid w:val="00D64C4E"/>
    <w:rsid w:val="00D64F99"/>
    <w:rsid w:val="00D65785"/>
    <w:rsid w:val="00D66AD8"/>
    <w:rsid w:val="00D67F4E"/>
    <w:rsid w:val="00D70E51"/>
    <w:rsid w:val="00D713AF"/>
    <w:rsid w:val="00D71C2C"/>
    <w:rsid w:val="00D72313"/>
    <w:rsid w:val="00D72401"/>
    <w:rsid w:val="00D72583"/>
    <w:rsid w:val="00D72D0A"/>
    <w:rsid w:val="00D74FE1"/>
    <w:rsid w:val="00D75135"/>
    <w:rsid w:val="00D7532B"/>
    <w:rsid w:val="00D75E30"/>
    <w:rsid w:val="00D76339"/>
    <w:rsid w:val="00D76E91"/>
    <w:rsid w:val="00D76F74"/>
    <w:rsid w:val="00D77438"/>
    <w:rsid w:val="00D77987"/>
    <w:rsid w:val="00D77AD5"/>
    <w:rsid w:val="00D80DC1"/>
    <w:rsid w:val="00D81307"/>
    <w:rsid w:val="00D819C1"/>
    <w:rsid w:val="00D81CD2"/>
    <w:rsid w:val="00D84C47"/>
    <w:rsid w:val="00D85110"/>
    <w:rsid w:val="00D852F8"/>
    <w:rsid w:val="00D8557A"/>
    <w:rsid w:val="00D856C0"/>
    <w:rsid w:val="00D856CD"/>
    <w:rsid w:val="00D86C38"/>
    <w:rsid w:val="00D86C5A"/>
    <w:rsid w:val="00D8762B"/>
    <w:rsid w:val="00D9124A"/>
    <w:rsid w:val="00D91EAB"/>
    <w:rsid w:val="00D92403"/>
    <w:rsid w:val="00D932DF"/>
    <w:rsid w:val="00D93B7F"/>
    <w:rsid w:val="00D9425C"/>
    <w:rsid w:val="00D94CE6"/>
    <w:rsid w:val="00D94D89"/>
    <w:rsid w:val="00D94FC5"/>
    <w:rsid w:val="00D95287"/>
    <w:rsid w:val="00D95FAE"/>
    <w:rsid w:val="00D96ACD"/>
    <w:rsid w:val="00D96B56"/>
    <w:rsid w:val="00D97242"/>
    <w:rsid w:val="00D9781F"/>
    <w:rsid w:val="00D9798B"/>
    <w:rsid w:val="00DA0206"/>
    <w:rsid w:val="00DA16A7"/>
    <w:rsid w:val="00DA1E08"/>
    <w:rsid w:val="00DA25D4"/>
    <w:rsid w:val="00DA2E9E"/>
    <w:rsid w:val="00DA3D4F"/>
    <w:rsid w:val="00DA4370"/>
    <w:rsid w:val="00DA43DF"/>
    <w:rsid w:val="00DA452B"/>
    <w:rsid w:val="00DA4780"/>
    <w:rsid w:val="00DA4AD3"/>
    <w:rsid w:val="00DA4C9C"/>
    <w:rsid w:val="00DA556E"/>
    <w:rsid w:val="00DA5AC0"/>
    <w:rsid w:val="00DA63BF"/>
    <w:rsid w:val="00DA67C2"/>
    <w:rsid w:val="00DA6BD0"/>
    <w:rsid w:val="00DA7B0A"/>
    <w:rsid w:val="00DB0080"/>
    <w:rsid w:val="00DB09B7"/>
    <w:rsid w:val="00DB0B3C"/>
    <w:rsid w:val="00DB0BBF"/>
    <w:rsid w:val="00DB0E3E"/>
    <w:rsid w:val="00DB1321"/>
    <w:rsid w:val="00DB1462"/>
    <w:rsid w:val="00DB2AF3"/>
    <w:rsid w:val="00DB40FE"/>
    <w:rsid w:val="00DB468B"/>
    <w:rsid w:val="00DB4815"/>
    <w:rsid w:val="00DB4FDF"/>
    <w:rsid w:val="00DB518D"/>
    <w:rsid w:val="00DB54F4"/>
    <w:rsid w:val="00DB6B46"/>
    <w:rsid w:val="00DB7047"/>
    <w:rsid w:val="00DB7061"/>
    <w:rsid w:val="00DB79EB"/>
    <w:rsid w:val="00DB7A1C"/>
    <w:rsid w:val="00DC0DA2"/>
    <w:rsid w:val="00DC1AD7"/>
    <w:rsid w:val="00DC1E5D"/>
    <w:rsid w:val="00DC20C9"/>
    <w:rsid w:val="00DC2133"/>
    <w:rsid w:val="00DC231A"/>
    <w:rsid w:val="00DC2BA6"/>
    <w:rsid w:val="00DC3498"/>
    <w:rsid w:val="00DC4572"/>
    <w:rsid w:val="00DC47BA"/>
    <w:rsid w:val="00DC52CF"/>
    <w:rsid w:val="00DC6C8B"/>
    <w:rsid w:val="00DC71B3"/>
    <w:rsid w:val="00DD01A8"/>
    <w:rsid w:val="00DD0F58"/>
    <w:rsid w:val="00DD10BC"/>
    <w:rsid w:val="00DD12FA"/>
    <w:rsid w:val="00DD1305"/>
    <w:rsid w:val="00DD1702"/>
    <w:rsid w:val="00DD1D24"/>
    <w:rsid w:val="00DD27F9"/>
    <w:rsid w:val="00DD2950"/>
    <w:rsid w:val="00DD30D9"/>
    <w:rsid w:val="00DD329A"/>
    <w:rsid w:val="00DD3BDE"/>
    <w:rsid w:val="00DD40B2"/>
    <w:rsid w:val="00DD4659"/>
    <w:rsid w:val="00DD4FCB"/>
    <w:rsid w:val="00DD51DB"/>
    <w:rsid w:val="00DD51F0"/>
    <w:rsid w:val="00DD55FF"/>
    <w:rsid w:val="00DD59F5"/>
    <w:rsid w:val="00DD6714"/>
    <w:rsid w:val="00DD67C3"/>
    <w:rsid w:val="00DD681E"/>
    <w:rsid w:val="00DD68C3"/>
    <w:rsid w:val="00DD6AC6"/>
    <w:rsid w:val="00DE0BCE"/>
    <w:rsid w:val="00DE131D"/>
    <w:rsid w:val="00DE153B"/>
    <w:rsid w:val="00DE1792"/>
    <w:rsid w:val="00DE21F2"/>
    <w:rsid w:val="00DE2C20"/>
    <w:rsid w:val="00DE2D2A"/>
    <w:rsid w:val="00DE2F2C"/>
    <w:rsid w:val="00DE3151"/>
    <w:rsid w:val="00DE360B"/>
    <w:rsid w:val="00DE3AEB"/>
    <w:rsid w:val="00DE4A2E"/>
    <w:rsid w:val="00DE5085"/>
    <w:rsid w:val="00DE6232"/>
    <w:rsid w:val="00DE66E5"/>
    <w:rsid w:val="00DE78D7"/>
    <w:rsid w:val="00DF00D3"/>
    <w:rsid w:val="00DF03F4"/>
    <w:rsid w:val="00DF1D8B"/>
    <w:rsid w:val="00DF2147"/>
    <w:rsid w:val="00DF3113"/>
    <w:rsid w:val="00DF3B6E"/>
    <w:rsid w:val="00DF4C67"/>
    <w:rsid w:val="00DF4CF7"/>
    <w:rsid w:val="00DF57B8"/>
    <w:rsid w:val="00DF5E22"/>
    <w:rsid w:val="00DF661A"/>
    <w:rsid w:val="00DF67AB"/>
    <w:rsid w:val="00DF6853"/>
    <w:rsid w:val="00DF6E3D"/>
    <w:rsid w:val="00DF7CE7"/>
    <w:rsid w:val="00E00855"/>
    <w:rsid w:val="00E00858"/>
    <w:rsid w:val="00E01423"/>
    <w:rsid w:val="00E01AAE"/>
    <w:rsid w:val="00E0222E"/>
    <w:rsid w:val="00E02696"/>
    <w:rsid w:val="00E02DAA"/>
    <w:rsid w:val="00E0371B"/>
    <w:rsid w:val="00E03AB3"/>
    <w:rsid w:val="00E03E1E"/>
    <w:rsid w:val="00E03E49"/>
    <w:rsid w:val="00E0456D"/>
    <w:rsid w:val="00E055BF"/>
    <w:rsid w:val="00E05806"/>
    <w:rsid w:val="00E05857"/>
    <w:rsid w:val="00E05A16"/>
    <w:rsid w:val="00E05B2B"/>
    <w:rsid w:val="00E05EA1"/>
    <w:rsid w:val="00E060DD"/>
    <w:rsid w:val="00E06205"/>
    <w:rsid w:val="00E066D8"/>
    <w:rsid w:val="00E06B9B"/>
    <w:rsid w:val="00E07F5A"/>
    <w:rsid w:val="00E10127"/>
    <w:rsid w:val="00E10875"/>
    <w:rsid w:val="00E130BE"/>
    <w:rsid w:val="00E137D8"/>
    <w:rsid w:val="00E13968"/>
    <w:rsid w:val="00E13980"/>
    <w:rsid w:val="00E151DF"/>
    <w:rsid w:val="00E1560C"/>
    <w:rsid w:val="00E162DC"/>
    <w:rsid w:val="00E16C94"/>
    <w:rsid w:val="00E1736E"/>
    <w:rsid w:val="00E2028F"/>
    <w:rsid w:val="00E208C6"/>
    <w:rsid w:val="00E21B9E"/>
    <w:rsid w:val="00E23552"/>
    <w:rsid w:val="00E23752"/>
    <w:rsid w:val="00E23C18"/>
    <w:rsid w:val="00E23E0C"/>
    <w:rsid w:val="00E2455F"/>
    <w:rsid w:val="00E24E3F"/>
    <w:rsid w:val="00E250FF"/>
    <w:rsid w:val="00E25ED6"/>
    <w:rsid w:val="00E2680D"/>
    <w:rsid w:val="00E26D6B"/>
    <w:rsid w:val="00E30B01"/>
    <w:rsid w:val="00E310E1"/>
    <w:rsid w:val="00E31255"/>
    <w:rsid w:val="00E317EB"/>
    <w:rsid w:val="00E31A56"/>
    <w:rsid w:val="00E31C44"/>
    <w:rsid w:val="00E32C59"/>
    <w:rsid w:val="00E335A6"/>
    <w:rsid w:val="00E33853"/>
    <w:rsid w:val="00E3438A"/>
    <w:rsid w:val="00E34934"/>
    <w:rsid w:val="00E34A7C"/>
    <w:rsid w:val="00E34B7D"/>
    <w:rsid w:val="00E34D22"/>
    <w:rsid w:val="00E3526C"/>
    <w:rsid w:val="00E35BCA"/>
    <w:rsid w:val="00E365D4"/>
    <w:rsid w:val="00E366C9"/>
    <w:rsid w:val="00E36EA7"/>
    <w:rsid w:val="00E370EB"/>
    <w:rsid w:val="00E37E8F"/>
    <w:rsid w:val="00E37FAB"/>
    <w:rsid w:val="00E403B7"/>
    <w:rsid w:val="00E40489"/>
    <w:rsid w:val="00E4084D"/>
    <w:rsid w:val="00E4091C"/>
    <w:rsid w:val="00E413B8"/>
    <w:rsid w:val="00E42B2B"/>
    <w:rsid w:val="00E42BA3"/>
    <w:rsid w:val="00E43311"/>
    <w:rsid w:val="00E434BF"/>
    <w:rsid w:val="00E43576"/>
    <w:rsid w:val="00E43720"/>
    <w:rsid w:val="00E43E50"/>
    <w:rsid w:val="00E441B2"/>
    <w:rsid w:val="00E4476A"/>
    <w:rsid w:val="00E451C1"/>
    <w:rsid w:val="00E45F84"/>
    <w:rsid w:val="00E46C2C"/>
    <w:rsid w:val="00E46D3D"/>
    <w:rsid w:val="00E4740F"/>
    <w:rsid w:val="00E47FB5"/>
    <w:rsid w:val="00E50A64"/>
    <w:rsid w:val="00E51540"/>
    <w:rsid w:val="00E516F1"/>
    <w:rsid w:val="00E51C36"/>
    <w:rsid w:val="00E51CF6"/>
    <w:rsid w:val="00E5203A"/>
    <w:rsid w:val="00E521D2"/>
    <w:rsid w:val="00E5297F"/>
    <w:rsid w:val="00E53283"/>
    <w:rsid w:val="00E53DB8"/>
    <w:rsid w:val="00E55201"/>
    <w:rsid w:val="00E55549"/>
    <w:rsid w:val="00E55BC8"/>
    <w:rsid w:val="00E56D6B"/>
    <w:rsid w:val="00E576A7"/>
    <w:rsid w:val="00E6001F"/>
    <w:rsid w:val="00E602A4"/>
    <w:rsid w:val="00E60481"/>
    <w:rsid w:val="00E60678"/>
    <w:rsid w:val="00E6079D"/>
    <w:rsid w:val="00E60B4F"/>
    <w:rsid w:val="00E61748"/>
    <w:rsid w:val="00E61A71"/>
    <w:rsid w:val="00E61B9A"/>
    <w:rsid w:val="00E61CA2"/>
    <w:rsid w:val="00E6293B"/>
    <w:rsid w:val="00E62EC5"/>
    <w:rsid w:val="00E6375A"/>
    <w:rsid w:val="00E63A1F"/>
    <w:rsid w:val="00E63FD2"/>
    <w:rsid w:val="00E644C7"/>
    <w:rsid w:val="00E64E12"/>
    <w:rsid w:val="00E6588F"/>
    <w:rsid w:val="00E66202"/>
    <w:rsid w:val="00E67443"/>
    <w:rsid w:val="00E678E8"/>
    <w:rsid w:val="00E70004"/>
    <w:rsid w:val="00E702F0"/>
    <w:rsid w:val="00E71757"/>
    <w:rsid w:val="00E72287"/>
    <w:rsid w:val="00E7364B"/>
    <w:rsid w:val="00E74CB4"/>
    <w:rsid w:val="00E7609D"/>
    <w:rsid w:val="00E76267"/>
    <w:rsid w:val="00E7628B"/>
    <w:rsid w:val="00E76320"/>
    <w:rsid w:val="00E76AEA"/>
    <w:rsid w:val="00E77021"/>
    <w:rsid w:val="00E773E9"/>
    <w:rsid w:val="00E77998"/>
    <w:rsid w:val="00E80369"/>
    <w:rsid w:val="00E816C4"/>
    <w:rsid w:val="00E816D6"/>
    <w:rsid w:val="00E8198C"/>
    <w:rsid w:val="00E82C3B"/>
    <w:rsid w:val="00E83C85"/>
    <w:rsid w:val="00E843DE"/>
    <w:rsid w:val="00E85645"/>
    <w:rsid w:val="00E8579E"/>
    <w:rsid w:val="00E858E5"/>
    <w:rsid w:val="00E860AF"/>
    <w:rsid w:val="00E86C68"/>
    <w:rsid w:val="00E900FB"/>
    <w:rsid w:val="00E90617"/>
    <w:rsid w:val="00E912B6"/>
    <w:rsid w:val="00E91F0F"/>
    <w:rsid w:val="00E920D2"/>
    <w:rsid w:val="00E929C9"/>
    <w:rsid w:val="00E93B2A"/>
    <w:rsid w:val="00E93D6D"/>
    <w:rsid w:val="00E93DD3"/>
    <w:rsid w:val="00E93E29"/>
    <w:rsid w:val="00E94020"/>
    <w:rsid w:val="00E94DC8"/>
    <w:rsid w:val="00E9622B"/>
    <w:rsid w:val="00E96269"/>
    <w:rsid w:val="00E96BF8"/>
    <w:rsid w:val="00E9747D"/>
    <w:rsid w:val="00E97FB6"/>
    <w:rsid w:val="00E97FF0"/>
    <w:rsid w:val="00EA07BC"/>
    <w:rsid w:val="00EA0AF7"/>
    <w:rsid w:val="00EA0B86"/>
    <w:rsid w:val="00EA1419"/>
    <w:rsid w:val="00EA2131"/>
    <w:rsid w:val="00EA21C7"/>
    <w:rsid w:val="00EA2B7B"/>
    <w:rsid w:val="00EA33AD"/>
    <w:rsid w:val="00EA3D0D"/>
    <w:rsid w:val="00EA4810"/>
    <w:rsid w:val="00EA5C01"/>
    <w:rsid w:val="00EA63DF"/>
    <w:rsid w:val="00EA6CC3"/>
    <w:rsid w:val="00EA78D8"/>
    <w:rsid w:val="00EA7B4D"/>
    <w:rsid w:val="00EA7B8F"/>
    <w:rsid w:val="00EA7EED"/>
    <w:rsid w:val="00EB0004"/>
    <w:rsid w:val="00EB02BA"/>
    <w:rsid w:val="00EB08C1"/>
    <w:rsid w:val="00EB0BA5"/>
    <w:rsid w:val="00EB1166"/>
    <w:rsid w:val="00EB1218"/>
    <w:rsid w:val="00EB1460"/>
    <w:rsid w:val="00EB2085"/>
    <w:rsid w:val="00EB2D54"/>
    <w:rsid w:val="00EB3E90"/>
    <w:rsid w:val="00EB4BAF"/>
    <w:rsid w:val="00EB5802"/>
    <w:rsid w:val="00EB602F"/>
    <w:rsid w:val="00EB64E6"/>
    <w:rsid w:val="00EB6AB9"/>
    <w:rsid w:val="00EB6F20"/>
    <w:rsid w:val="00EC0DE9"/>
    <w:rsid w:val="00EC119C"/>
    <w:rsid w:val="00EC14C0"/>
    <w:rsid w:val="00EC1AEB"/>
    <w:rsid w:val="00EC1AFD"/>
    <w:rsid w:val="00EC1D5B"/>
    <w:rsid w:val="00EC2AD0"/>
    <w:rsid w:val="00EC3154"/>
    <w:rsid w:val="00EC3C1C"/>
    <w:rsid w:val="00EC3E76"/>
    <w:rsid w:val="00EC406A"/>
    <w:rsid w:val="00EC47C0"/>
    <w:rsid w:val="00EC49FB"/>
    <w:rsid w:val="00EC52BC"/>
    <w:rsid w:val="00EC5830"/>
    <w:rsid w:val="00EC5AF6"/>
    <w:rsid w:val="00EC5DF3"/>
    <w:rsid w:val="00EC6A4E"/>
    <w:rsid w:val="00EC7059"/>
    <w:rsid w:val="00EC718F"/>
    <w:rsid w:val="00EC7560"/>
    <w:rsid w:val="00ED04F6"/>
    <w:rsid w:val="00ED0E84"/>
    <w:rsid w:val="00ED17AC"/>
    <w:rsid w:val="00ED202D"/>
    <w:rsid w:val="00ED21C0"/>
    <w:rsid w:val="00ED24AC"/>
    <w:rsid w:val="00ED3001"/>
    <w:rsid w:val="00ED34C6"/>
    <w:rsid w:val="00ED38A8"/>
    <w:rsid w:val="00ED3C6E"/>
    <w:rsid w:val="00ED4417"/>
    <w:rsid w:val="00ED4910"/>
    <w:rsid w:val="00ED5513"/>
    <w:rsid w:val="00ED5CF0"/>
    <w:rsid w:val="00EE093C"/>
    <w:rsid w:val="00EE0A3A"/>
    <w:rsid w:val="00EE0A79"/>
    <w:rsid w:val="00EE137A"/>
    <w:rsid w:val="00EE1804"/>
    <w:rsid w:val="00EE1999"/>
    <w:rsid w:val="00EE38D3"/>
    <w:rsid w:val="00EE4A28"/>
    <w:rsid w:val="00EE5350"/>
    <w:rsid w:val="00EE55B2"/>
    <w:rsid w:val="00EE66AB"/>
    <w:rsid w:val="00EE69E2"/>
    <w:rsid w:val="00EE6FF7"/>
    <w:rsid w:val="00EE7800"/>
    <w:rsid w:val="00EE7967"/>
    <w:rsid w:val="00EE7CAB"/>
    <w:rsid w:val="00EF021C"/>
    <w:rsid w:val="00EF142E"/>
    <w:rsid w:val="00EF1F39"/>
    <w:rsid w:val="00EF3F20"/>
    <w:rsid w:val="00EF46E9"/>
    <w:rsid w:val="00EF48B3"/>
    <w:rsid w:val="00EF5965"/>
    <w:rsid w:val="00EF60CC"/>
    <w:rsid w:val="00EF6C89"/>
    <w:rsid w:val="00EF7113"/>
    <w:rsid w:val="00EF7307"/>
    <w:rsid w:val="00EF7B17"/>
    <w:rsid w:val="00F003E1"/>
    <w:rsid w:val="00F00633"/>
    <w:rsid w:val="00F02179"/>
    <w:rsid w:val="00F02A2B"/>
    <w:rsid w:val="00F02F93"/>
    <w:rsid w:val="00F03462"/>
    <w:rsid w:val="00F03CC2"/>
    <w:rsid w:val="00F040E0"/>
    <w:rsid w:val="00F04356"/>
    <w:rsid w:val="00F04A20"/>
    <w:rsid w:val="00F059FE"/>
    <w:rsid w:val="00F0641F"/>
    <w:rsid w:val="00F079A4"/>
    <w:rsid w:val="00F10554"/>
    <w:rsid w:val="00F10A93"/>
    <w:rsid w:val="00F114CE"/>
    <w:rsid w:val="00F11782"/>
    <w:rsid w:val="00F13862"/>
    <w:rsid w:val="00F1404F"/>
    <w:rsid w:val="00F158E1"/>
    <w:rsid w:val="00F15CFD"/>
    <w:rsid w:val="00F165C1"/>
    <w:rsid w:val="00F16960"/>
    <w:rsid w:val="00F1696B"/>
    <w:rsid w:val="00F169C8"/>
    <w:rsid w:val="00F16BA6"/>
    <w:rsid w:val="00F16FF9"/>
    <w:rsid w:val="00F1793B"/>
    <w:rsid w:val="00F17EF7"/>
    <w:rsid w:val="00F201DC"/>
    <w:rsid w:val="00F21158"/>
    <w:rsid w:val="00F214B9"/>
    <w:rsid w:val="00F21C3B"/>
    <w:rsid w:val="00F2258F"/>
    <w:rsid w:val="00F22A23"/>
    <w:rsid w:val="00F22C36"/>
    <w:rsid w:val="00F22ED5"/>
    <w:rsid w:val="00F235DD"/>
    <w:rsid w:val="00F23A8F"/>
    <w:rsid w:val="00F23BCD"/>
    <w:rsid w:val="00F246B9"/>
    <w:rsid w:val="00F25FFC"/>
    <w:rsid w:val="00F26733"/>
    <w:rsid w:val="00F26D9D"/>
    <w:rsid w:val="00F30799"/>
    <w:rsid w:val="00F30B97"/>
    <w:rsid w:val="00F30F25"/>
    <w:rsid w:val="00F31396"/>
    <w:rsid w:val="00F3177B"/>
    <w:rsid w:val="00F31FE9"/>
    <w:rsid w:val="00F3248A"/>
    <w:rsid w:val="00F32770"/>
    <w:rsid w:val="00F32993"/>
    <w:rsid w:val="00F32A29"/>
    <w:rsid w:val="00F32F09"/>
    <w:rsid w:val="00F33828"/>
    <w:rsid w:val="00F34774"/>
    <w:rsid w:val="00F34B05"/>
    <w:rsid w:val="00F351FB"/>
    <w:rsid w:val="00F35DEC"/>
    <w:rsid w:val="00F35F2B"/>
    <w:rsid w:val="00F361DA"/>
    <w:rsid w:val="00F36885"/>
    <w:rsid w:val="00F36B58"/>
    <w:rsid w:val="00F37197"/>
    <w:rsid w:val="00F37653"/>
    <w:rsid w:val="00F40301"/>
    <w:rsid w:val="00F403E9"/>
    <w:rsid w:val="00F40485"/>
    <w:rsid w:val="00F4149B"/>
    <w:rsid w:val="00F414A8"/>
    <w:rsid w:val="00F41A08"/>
    <w:rsid w:val="00F41A5D"/>
    <w:rsid w:val="00F42089"/>
    <w:rsid w:val="00F42CC1"/>
    <w:rsid w:val="00F42D1D"/>
    <w:rsid w:val="00F432FC"/>
    <w:rsid w:val="00F43BF7"/>
    <w:rsid w:val="00F43C27"/>
    <w:rsid w:val="00F44729"/>
    <w:rsid w:val="00F45E82"/>
    <w:rsid w:val="00F4733F"/>
    <w:rsid w:val="00F4741D"/>
    <w:rsid w:val="00F474F0"/>
    <w:rsid w:val="00F4771F"/>
    <w:rsid w:val="00F50087"/>
    <w:rsid w:val="00F51367"/>
    <w:rsid w:val="00F515A7"/>
    <w:rsid w:val="00F518AE"/>
    <w:rsid w:val="00F52F46"/>
    <w:rsid w:val="00F53012"/>
    <w:rsid w:val="00F530BA"/>
    <w:rsid w:val="00F53427"/>
    <w:rsid w:val="00F538FF"/>
    <w:rsid w:val="00F53E3E"/>
    <w:rsid w:val="00F541A8"/>
    <w:rsid w:val="00F54793"/>
    <w:rsid w:val="00F54AD7"/>
    <w:rsid w:val="00F54C73"/>
    <w:rsid w:val="00F5641F"/>
    <w:rsid w:val="00F5668B"/>
    <w:rsid w:val="00F568DB"/>
    <w:rsid w:val="00F56E3E"/>
    <w:rsid w:val="00F57116"/>
    <w:rsid w:val="00F575EC"/>
    <w:rsid w:val="00F57842"/>
    <w:rsid w:val="00F57B00"/>
    <w:rsid w:val="00F6097F"/>
    <w:rsid w:val="00F6124A"/>
    <w:rsid w:val="00F61D35"/>
    <w:rsid w:val="00F61D7F"/>
    <w:rsid w:val="00F62433"/>
    <w:rsid w:val="00F62647"/>
    <w:rsid w:val="00F628F7"/>
    <w:rsid w:val="00F62AB7"/>
    <w:rsid w:val="00F62D13"/>
    <w:rsid w:val="00F64718"/>
    <w:rsid w:val="00F652EC"/>
    <w:rsid w:val="00F6568E"/>
    <w:rsid w:val="00F65968"/>
    <w:rsid w:val="00F65B06"/>
    <w:rsid w:val="00F66772"/>
    <w:rsid w:val="00F67E40"/>
    <w:rsid w:val="00F700EC"/>
    <w:rsid w:val="00F70378"/>
    <w:rsid w:val="00F703D1"/>
    <w:rsid w:val="00F70996"/>
    <w:rsid w:val="00F70C3A"/>
    <w:rsid w:val="00F70FDD"/>
    <w:rsid w:val="00F71BEC"/>
    <w:rsid w:val="00F725ED"/>
    <w:rsid w:val="00F73036"/>
    <w:rsid w:val="00F731B1"/>
    <w:rsid w:val="00F737A0"/>
    <w:rsid w:val="00F739A4"/>
    <w:rsid w:val="00F74AB7"/>
    <w:rsid w:val="00F750B1"/>
    <w:rsid w:val="00F77ADA"/>
    <w:rsid w:val="00F80C8C"/>
    <w:rsid w:val="00F81999"/>
    <w:rsid w:val="00F81DBA"/>
    <w:rsid w:val="00F82B6C"/>
    <w:rsid w:val="00F82C8B"/>
    <w:rsid w:val="00F831AE"/>
    <w:rsid w:val="00F834E1"/>
    <w:rsid w:val="00F84485"/>
    <w:rsid w:val="00F852B0"/>
    <w:rsid w:val="00F85FC0"/>
    <w:rsid w:val="00F87A65"/>
    <w:rsid w:val="00F90217"/>
    <w:rsid w:val="00F905AB"/>
    <w:rsid w:val="00F90692"/>
    <w:rsid w:val="00F90A92"/>
    <w:rsid w:val="00F91E52"/>
    <w:rsid w:val="00F92A8C"/>
    <w:rsid w:val="00F93702"/>
    <w:rsid w:val="00F9384B"/>
    <w:rsid w:val="00F946C2"/>
    <w:rsid w:val="00F954C2"/>
    <w:rsid w:val="00F95B78"/>
    <w:rsid w:val="00F96FBD"/>
    <w:rsid w:val="00F9707F"/>
    <w:rsid w:val="00F97F00"/>
    <w:rsid w:val="00FA0FD7"/>
    <w:rsid w:val="00FA179E"/>
    <w:rsid w:val="00FA1836"/>
    <w:rsid w:val="00FA1CD7"/>
    <w:rsid w:val="00FA23CC"/>
    <w:rsid w:val="00FA3CC2"/>
    <w:rsid w:val="00FA459C"/>
    <w:rsid w:val="00FA4759"/>
    <w:rsid w:val="00FA4795"/>
    <w:rsid w:val="00FA50CA"/>
    <w:rsid w:val="00FA57B6"/>
    <w:rsid w:val="00FA58CD"/>
    <w:rsid w:val="00FA62C0"/>
    <w:rsid w:val="00FA6EED"/>
    <w:rsid w:val="00FA7BF2"/>
    <w:rsid w:val="00FA7CC2"/>
    <w:rsid w:val="00FA7E79"/>
    <w:rsid w:val="00FB0477"/>
    <w:rsid w:val="00FB0755"/>
    <w:rsid w:val="00FB1225"/>
    <w:rsid w:val="00FB13CC"/>
    <w:rsid w:val="00FB166B"/>
    <w:rsid w:val="00FB1B72"/>
    <w:rsid w:val="00FB1EF2"/>
    <w:rsid w:val="00FB2B68"/>
    <w:rsid w:val="00FB3449"/>
    <w:rsid w:val="00FB3689"/>
    <w:rsid w:val="00FB3D09"/>
    <w:rsid w:val="00FB3D92"/>
    <w:rsid w:val="00FB469B"/>
    <w:rsid w:val="00FB4FE8"/>
    <w:rsid w:val="00FB510F"/>
    <w:rsid w:val="00FB5B60"/>
    <w:rsid w:val="00FB6653"/>
    <w:rsid w:val="00FB6A83"/>
    <w:rsid w:val="00FC0C0F"/>
    <w:rsid w:val="00FC0D2C"/>
    <w:rsid w:val="00FC1096"/>
    <w:rsid w:val="00FC137C"/>
    <w:rsid w:val="00FC13B1"/>
    <w:rsid w:val="00FC13C5"/>
    <w:rsid w:val="00FC2C6F"/>
    <w:rsid w:val="00FC30EE"/>
    <w:rsid w:val="00FC3440"/>
    <w:rsid w:val="00FC495E"/>
    <w:rsid w:val="00FC4BC1"/>
    <w:rsid w:val="00FC797A"/>
    <w:rsid w:val="00FC7A09"/>
    <w:rsid w:val="00FC7A9C"/>
    <w:rsid w:val="00FD04A7"/>
    <w:rsid w:val="00FD20E6"/>
    <w:rsid w:val="00FD340A"/>
    <w:rsid w:val="00FD3CDA"/>
    <w:rsid w:val="00FD4C07"/>
    <w:rsid w:val="00FD6200"/>
    <w:rsid w:val="00FD66DD"/>
    <w:rsid w:val="00FD6A9B"/>
    <w:rsid w:val="00FD6EB6"/>
    <w:rsid w:val="00FD75DA"/>
    <w:rsid w:val="00FE143B"/>
    <w:rsid w:val="00FE238D"/>
    <w:rsid w:val="00FE2938"/>
    <w:rsid w:val="00FE32F2"/>
    <w:rsid w:val="00FE52C2"/>
    <w:rsid w:val="00FE5EBC"/>
    <w:rsid w:val="00FE65F6"/>
    <w:rsid w:val="00FE6780"/>
    <w:rsid w:val="00FE6A4F"/>
    <w:rsid w:val="00FE79A7"/>
    <w:rsid w:val="00FF035F"/>
    <w:rsid w:val="00FF1562"/>
    <w:rsid w:val="00FF24F4"/>
    <w:rsid w:val="00FF31B0"/>
    <w:rsid w:val="00FF32D8"/>
    <w:rsid w:val="00FF389E"/>
    <w:rsid w:val="00FF3DD1"/>
    <w:rsid w:val="00FF4B46"/>
    <w:rsid w:val="00FF5B8D"/>
    <w:rsid w:val="00FF5BEB"/>
    <w:rsid w:val="00FF672D"/>
    <w:rsid w:val="00FF6CAD"/>
    <w:rsid w:val="00FF6EFC"/>
    <w:rsid w:val="00FF79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8CDEAC"/>
  <w15:chartTrackingRefBased/>
  <w15:docId w15:val="{7BB0716A-11AE-4CED-A2F8-CD825A63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fr"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59D"/>
    <w:pPr>
      <w:spacing w:after="0" w:line="240" w:lineRule="auto"/>
      <w:ind w:left="720"/>
      <w:contextualSpacing/>
    </w:pPr>
    <w:rPr>
      <w:rFonts w:ascii="Times New Roman" w:eastAsia="Times New Roman" w:hAnsi="Times New Roman" w:cs="Times New Roman"/>
      <w:sz w:val="24"/>
    </w:rPr>
  </w:style>
  <w:style w:type="paragraph" w:styleId="Header">
    <w:name w:val="header"/>
    <w:basedOn w:val="Normal"/>
    <w:link w:val="HeaderChar"/>
    <w:uiPriority w:val="99"/>
    <w:unhideWhenUsed/>
    <w:rsid w:val="001C2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4D8"/>
  </w:style>
  <w:style w:type="paragraph" w:styleId="Footer">
    <w:name w:val="footer"/>
    <w:basedOn w:val="Normal"/>
    <w:link w:val="FooterChar"/>
    <w:uiPriority w:val="99"/>
    <w:unhideWhenUsed/>
    <w:rsid w:val="001C2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4D8"/>
  </w:style>
  <w:style w:type="paragraph" w:styleId="NormalWeb">
    <w:name w:val="Normal (Web)"/>
    <w:basedOn w:val="Normal"/>
    <w:uiPriority w:val="99"/>
    <w:semiHidden/>
    <w:unhideWhenUsed/>
    <w:rsid w:val="00A71D50"/>
    <w:pPr>
      <w:spacing w:before="100" w:beforeAutospacing="1" w:after="100" w:afterAutospacing="1" w:line="240" w:lineRule="auto"/>
    </w:pPr>
    <w:rPr>
      <w:rFonts w:ascii="Times New Roman" w:eastAsia="Times New Roman" w:hAnsi="Times New Roman" w:cs="Times New Roman"/>
      <w:sz w:val="24"/>
    </w:rPr>
  </w:style>
  <w:style w:type="paragraph" w:styleId="FootnoteText">
    <w:name w:val="footnote text"/>
    <w:basedOn w:val="Normal"/>
    <w:link w:val="FootnoteTextChar"/>
    <w:uiPriority w:val="99"/>
    <w:semiHidden/>
    <w:unhideWhenUsed/>
    <w:rsid w:val="009B3D2F"/>
    <w:pPr>
      <w:spacing w:after="0" w:line="240" w:lineRule="auto"/>
    </w:pPr>
    <w:rPr>
      <w:sz w:val="20"/>
    </w:rPr>
  </w:style>
  <w:style w:type="character" w:customStyle="1" w:styleId="FootnoteTextChar">
    <w:name w:val="Footnote Text Char"/>
    <w:basedOn w:val="DefaultParagraphFont"/>
    <w:link w:val="FootnoteText"/>
    <w:uiPriority w:val="99"/>
    <w:semiHidden/>
    <w:rsid w:val="009B3D2F"/>
    <w:rPr>
      <w:sz w:val="20"/>
    </w:rPr>
  </w:style>
  <w:style w:type="character" w:styleId="FootnoteReference">
    <w:name w:val="footnote reference"/>
    <w:basedOn w:val="DefaultParagraphFont"/>
    <w:uiPriority w:val="99"/>
    <w:semiHidden/>
    <w:unhideWhenUsed/>
    <w:rsid w:val="009B3D2F"/>
    <w:rPr>
      <w:vertAlign w:val="superscript"/>
    </w:rPr>
  </w:style>
  <w:style w:type="table" w:styleId="TableGrid">
    <w:name w:val="Table Grid"/>
    <w:basedOn w:val="TableNormal"/>
    <w:uiPriority w:val="39"/>
    <w:rsid w:val="007F5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1662"/>
    <w:rPr>
      <w:sz w:val="16"/>
    </w:rPr>
  </w:style>
  <w:style w:type="paragraph" w:styleId="CommentText">
    <w:name w:val="annotation text"/>
    <w:basedOn w:val="Normal"/>
    <w:link w:val="CommentTextChar"/>
    <w:uiPriority w:val="99"/>
    <w:unhideWhenUsed/>
    <w:rsid w:val="00361662"/>
    <w:pPr>
      <w:spacing w:line="240" w:lineRule="auto"/>
    </w:pPr>
    <w:rPr>
      <w:sz w:val="20"/>
    </w:rPr>
  </w:style>
  <w:style w:type="character" w:customStyle="1" w:styleId="CommentTextChar">
    <w:name w:val="Comment Text Char"/>
    <w:basedOn w:val="DefaultParagraphFont"/>
    <w:link w:val="CommentText"/>
    <w:uiPriority w:val="99"/>
    <w:rsid w:val="00361662"/>
    <w:rPr>
      <w:sz w:val="20"/>
    </w:rPr>
  </w:style>
  <w:style w:type="paragraph" w:styleId="CommentSubject">
    <w:name w:val="annotation subject"/>
    <w:basedOn w:val="CommentText"/>
    <w:next w:val="CommentText"/>
    <w:link w:val="CommentSubjectChar"/>
    <w:uiPriority w:val="99"/>
    <w:semiHidden/>
    <w:unhideWhenUsed/>
    <w:rsid w:val="00361662"/>
    <w:rPr>
      <w:b/>
    </w:rPr>
  </w:style>
  <w:style w:type="character" w:customStyle="1" w:styleId="CommentSubjectChar">
    <w:name w:val="Comment Subject Char"/>
    <w:basedOn w:val="CommentTextChar"/>
    <w:link w:val="CommentSubject"/>
    <w:uiPriority w:val="99"/>
    <w:semiHidden/>
    <w:rsid w:val="00361662"/>
    <w:rPr>
      <w:b/>
      <w:sz w:val="20"/>
    </w:rPr>
  </w:style>
  <w:style w:type="paragraph" w:styleId="Revision">
    <w:name w:val="Revision"/>
    <w:hidden/>
    <w:uiPriority w:val="99"/>
    <w:semiHidden/>
    <w:rsid w:val="00B116D7"/>
    <w:pPr>
      <w:spacing w:after="0" w:line="240" w:lineRule="auto"/>
    </w:pPr>
  </w:style>
  <w:style w:type="paragraph" w:styleId="BalloonText">
    <w:name w:val="Balloon Text"/>
    <w:basedOn w:val="Normal"/>
    <w:link w:val="BalloonTextChar"/>
    <w:uiPriority w:val="99"/>
    <w:semiHidden/>
    <w:unhideWhenUsed/>
    <w:rsid w:val="00D77438"/>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D77438"/>
    <w:rPr>
      <w:rFonts w:ascii="Segoe UI" w:hAnsi="Segoe UI" w:cs="Segoe UI"/>
      <w:sz w:val="18"/>
    </w:rPr>
  </w:style>
  <w:style w:type="character" w:customStyle="1" w:styleId="cf01">
    <w:name w:val="cf01"/>
    <w:basedOn w:val="DefaultParagraphFont"/>
    <w:rsid w:val="00744943"/>
    <w:rPr>
      <w:rFonts w:ascii="Segoe UI" w:hAnsi="Segoe UI" w:cs="Segoe UI" w:hint="default"/>
      <w:sz w:val="18"/>
    </w:rPr>
  </w:style>
  <w:style w:type="table" w:customStyle="1" w:styleId="TableGrid1">
    <w:name w:val="Table Grid1"/>
    <w:basedOn w:val="TableNormal"/>
    <w:next w:val="TableGrid"/>
    <w:uiPriority w:val="39"/>
    <w:rsid w:val="00A46F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377F"/>
    <w:rPr>
      <w:color w:val="0563C1" w:themeColor="hyperlink"/>
      <w:u w:val="single"/>
    </w:rPr>
  </w:style>
  <w:style w:type="character" w:customStyle="1" w:styleId="UnresolvedMention1">
    <w:name w:val="Unresolved Mention1"/>
    <w:basedOn w:val="DefaultParagraphFont"/>
    <w:uiPriority w:val="99"/>
    <w:semiHidden/>
    <w:unhideWhenUsed/>
    <w:rsid w:val="00B0358F"/>
    <w:rPr>
      <w:color w:val="605E5C"/>
      <w:shd w:val="clear" w:color="auto" w:fill="E1DFDD"/>
    </w:rPr>
  </w:style>
  <w:style w:type="character" w:customStyle="1" w:styleId="recommendation-title">
    <w:name w:val="recommendation-title"/>
    <w:basedOn w:val="DefaultParagraphFont"/>
    <w:rsid w:val="00C908F9"/>
  </w:style>
  <w:style w:type="paragraph" w:customStyle="1" w:styleId="P68B1DB1-Normal1">
    <w:name w:val="P68B1DB1-Normal1"/>
    <w:basedOn w:val="Normal"/>
    <w:rPr>
      <w:rFonts w:asciiTheme="majorBidi" w:hAnsiTheme="majorBidi" w:cstheme="majorBidi"/>
      <w:b/>
      <w:sz w:val="28"/>
    </w:rPr>
  </w:style>
  <w:style w:type="paragraph" w:customStyle="1" w:styleId="P68B1DB1-Normal2">
    <w:name w:val="P68B1DB1-Normal2"/>
    <w:basedOn w:val="Normal"/>
    <w:rPr>
      <w:rFonts w:asciiTheme="majorBidi" w:hAnsiTheme="majorBidi" w:cstheme="majorBidi"/>
      <w:sz w:val="24"/>
    </w:rPr>
  </w:style>
  <w:style w:type="paragraph" w:customStyle="1" w:styleId="P68B1DB1-Normal3">
    <w:name w:val="P68B1DB1-Normal3"/>
    <w:basedOn w:val="Normal"/>
    <w:rPr>
      <w:rFonts w:asciiTheme="majorBidi" w:hAnsiTheme="majorBidi" w:cstheme="majorBidi"/>
      <w:i/>
      <w:sz w:val="24"/>
    </w:rPr>
  </w:style>
  <w:style w:type="paragraph" w:customStyle="1" w:styleId="P68B1DB1-Normal4">
    <w:name w:val="P68B1DB1-Normal4"/>
    <w:basedOn w:val="Normal"/>
    <w:rPr>
      <w:rFonts w:asciiTheme="majorBidi" w:hAnsiTheme="majorBidi" w:cstheme="majorBidi"/>
      <w:b/>
    </w:rPr>
  </w:style>
  <w:style w:type="paragraph" w:customStyle="1" w:styleId="P68B1DB1-Normal5">
    <w:name w:val="P68B1DB1-Normal5"/>
    <w:basedOn w:val="Normal"/>
    <w:rPr>
      <w:rFonts w:asciiTheme="majorBidi" w:hAnsiTheme="majorBidi" w:cstheme="majorBidi"/>
    </w:rPr>
  </w:style>
  <w:style w:type="paragraph" w:customStyle="1" w:styleId="P68B1DB1-Normal6">
    <w:name w:val="P68B1DB1-Normal6"/>
    <w:basedOn w:val="Normal"/>
    <w:rPr>
      <w:rFonts w:asciiTheme="majorBidi" w:hAnsiTheme="majorBidi" w:cstheme="majorBidi"/>
      <w:color w:val="000000" w:themeColor="text1"/>
      <w:sz w:val="24"/>
    </w:rPr>
  </w:style>
  <w:style w:type="paragraph" w:customStyle="1" w:styleId="P68B1DB1-ListParagraph7">
    <w:name w:val="P68B1DB1-ListParagraph7"/>
    <w:basedOn w:val="ListParagraph"/>
    <w:rPr>
      <w:rFonts w:asciiTheme="majorBidi" w:hAnsiTheme="majorBidi" w:cstheme="majorBidi"/>
      <w:b/>
      <w:kern w:val="24"/>
    </w:rPr>
  </w:style>
  <w:style w:type="paragraph" w:customStyle="1" w:styleId="P68B1DB1-ListParagraph8">
    <w:name w:val="P68B1DB1-ListParagraph8"/>
    <w:basedOn w:val="ListParagraph"/>
    <w:rPr>
      <w:rFonts w:asciiTheme="majorBidi" w:hAnsiTheme="majorBidi" w:cstheme="majorBidi"/>
      <w:kern w:val="24"/>
    </w:rPr>
  </w:style>
  <w:style w:type="paragraph" w:customStyle="1" w:styleId="P68B1DB1-Normal9">
    <w:name w:val="P68B1DB1-Normal9"/>
    <w:basedOn w:val="Normal"/>
    <w:rPr>
      <w:rFonts w:asciiTheme="majorBidi" w:hAnsiTheme="majorBidi" w:cstheme="majorBidi"/>
      <w:b/>
      <w:caps/>
    </w:rPr>
  </w:style>
  <w:style w:type="paragraph" w:customStyle="1" w:styleId="P68B1DB1-ListParagraph10">
    <w:name w:val="P68B1DB1-ListParagraph10"/>
    <w:basedOn w:val="ListParagraph"/>
    <w:rPr>
      <w:rFonts w:asciiTheme="majorBidi" w:eastAsiaTheme="minorEastAsia" w:hAnsiTheme="majorBidi" w:cstheme="majorBidi"/>
      <w:i/>
      <w:kern w:val="24"/>
    </w:rPr>
  </w:style>
  <w:style w:type="paragraph" w:customStyle="1" w:styleId="P68B1DB1-ListParagraph11">
    <w:name w:val="P68B1DB1-ListParagraph11"/>
    <w:basedOn w:val="ListParagraph"/>
    <w:rPr>
      <w:rFonts w:asciiTheme="majorBidi" w:eastAsiaTheme="minorEastAsia" w:hAnsiTheme="majorBidi" w:cstheme="majorBidi"/>
      <w:kern w:val="24"/>
    </w:rPr>
  </w:style>
  <w:style w:type="paragraph" w:customStyle="1" w:styleId="P68B1DB1-ListParagraph12">
    <w:name w:val="P68B1DB1-ListParagraph12"/>
    <w:basedOn w:val="ListParagraph"/>
    <w:rPr>
      <w:kern w:val="24"/>
    </w:rPr>
  </w:style>
  <w:style w:type="paragraph" w:customStyle="1" w:styleId="P68B1DB1-ListParagraph13">
    <w:name w:val="P68B1DB1-ListParagraph13"/>
    <w:basedOn w:val="ListParagraph"/>
    <w:rPr>
      <w:rFonts w:asciiTheme="majorBidi" w:hAnsiTheme="majorBidi" w:cstheme="majorBidi"/>
      <w:b/>
    </w:rPr>
  </w:style>
  <w:style w:type="paragraph" w:customStyle="1" w:styleId="P68B1DB1-Normal14">
    <w:name w:val="P68B1DB1-Normal14"/>
    <w:basedOn w:val="Normal"/>
    <w:rPr>
      <w:rFonts w:asciiTheme="majorBidi" w:hAnsiTheme="majorBidi" w:cstheme="majorBidi"/>
      <w:b/>
      <w:sz w:val="24"/>
    </w:rPr>
  </w:style>
  <w:style w:type="paragraph" w:customStyle="1" w:styleId="P68B1DB1-Normal15">
    <w:name w:val="P68B1DB1-Normal15"/>
    <w:basedOn w:val="Normal"/>
    <w:rPr>
      <w:rFonts w:asciiTheme="majorBidi" w:hAnsiTheme="majorBidi" w:cstheme="majorBidi"/>
      <w:b/>
      <w:sz w:val="20"/>
    </w:rPr>
  </w:style>
  <w:style w:type="paragraph" w:customStyle="1" w:styleId="P68B1DB1-ListParagraph16">
    <w:name w:val="P68B1DB1-ListParagraph16"/>
    <w:basedOn w:val="ListParagraph"/>
    <w:rPr>
      <w:rFonts w:asciiTheme="majorBidi" w:hAnsiTheme="majorBidi" w:cstheme="majorBidi"/>
      <w:sz w:val="20"/>
    </w:rPr>
  </w:style>
  <w:style w:type="paragraph" w:customStyle="1" w:styleId="P68B1DB1-Normal17">
    <w:name w:val="P68B1DB1-Normal17"/>
    <w:basedOn w:val="Normal"/>
    <w:rPr>
      <w:rFonts w:asciiTheme="majorBidi" w:hAnsiTheme="majorBidi" w:cstheme="majorBidi"/>
      <w:sz w:val="20"/>
    </w:rPr>
  </w:style>
  <w:style w:type="paragraph" w:customStyle="1" w:styleId="P68B1DB1-Normal18">
    <w:name w:val="P68B1DB1-Normal18"/>
    <w:basedOn w:val="Normal"/>
    <w:rPr>
      <w:rFonts w:asciiTheme="majorBidi" w:hAnsiTheme="majorBidi" w:cstheme="majorBidi"/>
      <w:color w:val="000000" w:themeColor="text1"/>
      <w:sz w:val="20"/>
    </w:rPr>
  </w:style>
  <w:style w:type="paragraph" w:customStyle="1" w:styleId="P68B1DB1-ListParagraph19">
    <w:name w:val="P68B1DB1-ListParagraph19"/>
    <w:basedOn w:val="ListParagraph"/>
    <w:rPr>
      <w:rFonts w:asciiTheme="majorBidi" w:hAnsiTheme="majorBidi" w:cstheme="majorBidi"/>
      <w:color w:val="000000" w:themeColor="text1"/>
      <w:sz w:val="20"/>
    </w:rPr>
  </w:style>
  <w:style w:type="paragraph" w:customStyle="1" w:styleId="P68B1DB1-Normal20">
    <w:name w:val="P68B1DB1-Normal20"/>
    <w:basedOn w:val="Normal"/>
    <w:rPr>
      <w:rFonts w:asciiTheme="majorBidi" w:hAnsiTheme="majorBidi" w:cstheme="majorBidi"/>
      <w:b/>
      <w:color w:val="000000" w:themeColor="text1"/>
      <w:sz w:val="20"/>
    </w:rPr>
  </w:style>
  <w:style w:type="paragraph" w:customStyle="1" w:styleId="P68B1DB1-Normal21">
    <w:name w:val="P68B1DB1-Normal21"/>
    <w:basedOn w:val="Normal"/>
    <w:rPr>
      <w:rFonts w:ascii="Times New Roman" w:hAnsi="Times New Roman" w:cs="Times New Roman"/>
      <w:color w:val="000000" w:themeColor="text1"/>
      <w:sz w:val="20"/>
    </w:rPr>
  </w:style>
  <w:style w:type="paragraph" w:customStyle="1" w:styleId="P68B1DB1-Normal22">
    <w:name w:val="P68B1DB1-Normal22"/>
    <w:basedOn w:val="Normal"/>
    <w:rPr>
      <w:rFonts w:ascii="Times New Roman" w:hAnsi="Times New Roman" w:cs="Times New Roman"/>
      <w:color w:val="000000" w:themeColor="text1"/>
      <w:sz w:val="24"/>
    </w:rPr>
  </w:style>
  <w:style w:type="paragraph" w:customStyle="1" w:styleId="P68B1DB1-Normal23">
    <w:name w:val="P68B1DB1-Normal23"/>
    <w:basedOn w:val="Normal"/>
    <w:rPr>
      <w:rFonts w:asciiTheme="majorBidi" w:hAnsiTheme="majorBidi" w:cstheme="majorBidi"/>
      <w:b/>
      <w:color w:val="000000" w:themeColor="text1"/>
    </w:rPr>
  </w:style>
  <w:style w:type="paragraph" w:customStyle="1" w:styleId="P68B1DB1-Normal24">
    <w:name w:val="P68B1DB1-Normal24"/>
    <w:basedOn w:val="Normal"/>
    <w:rPr>
      <w:rFonts w:asciiTheme="majorBidi" w:hAnsiTheme="majorBidi" w:cstheme="majorBidi"/>
      <w:b/>
      <w:color w:val="000000" w:themeColor="text1"/>
      <w:sz w:val="24"/>
    </w:rPr>
  </w:style>
  <w:style w:type="paragraph" w:customStyle="1" w:styleId="P68B1DB1-Normal25">
    <w:name w:val="P68B1DB1-Normal25"/>
    <w:basedOn w:val="Normal"/>
    <w:rPr>
      <w:rFonts w:asciiTheme="majorBidi" w:hAnsiTheme="majorBidi" w:cstheme="majorBidi"/>
      <w:b/>
      <w:i/>
      <w:color w:val="000000" w:themeColor="text1"/>
    </w:rPr>
  </w:style>
  <w:style w:type="paragraph" w:customStyle="1" w:styleId="P68B1DB1-Normal26">
    <w:name w:val="P68B1DB1-Normal26"/>
    <w:basedOn w:val="Normal"/>
    <w:rPr>
      <w:rFonts w:asciiTheme="majorBidi" w:eastAsia="Times New Roman" w:hAnsiTheme="majorBidi" w:cstheme="majorBidi"/>
      <w:color w:val="000000" w:themeColor="text1"/>
    </w:rPr>
  </w:style>
  <w:style w:type="paragraph" w:customStyle="1" w:styleId="P68B1DB1-ListParagraph27">
    <w:name w:val="P68B1DB1-ListParagraph27"/>
    <w:basedOn w:val="ListParagraph"/>
    <w:rPr>
      <w:color w:val="000000" w:themeColor="text1"/>
      <w:sz w:val="22"/>
    </w:rPr>
  </w:style>
  <w:style w:type="paragraph" w:customStyle="1" w:styleId="P68B1DB1-ListParagraph28">
    <w:name w:val="P68B1DB1-ListParagraph28"/>
    <w:basedOn w:val="ListParagraph"/>
    <w:rPr>
      <w:rFonts w:asciiTheme="majorBidi" w:hAnsiTheme="majorBidi" w:cstheme="majorBidi"/>
      <w:color w:val="000000" w:themeColor="text1"/>
      <w:sz w:val="22"/>
    </w:rPr>
  </w:style>
  <w:style w:type="paragraph" w:customStyle="1" w:styleId="P68B1DB1-Normal29">
    <w:name w:val="P68B1DB1-Normal29"/>
    <w:basedOn w:val="Normal"/>
    <w:rPr>
      <w:rFonts w:ascii="Times New Roman" w:hAnsi="Times New Roman" w:cs="Times New Roman"/>
      <w:b/>
      <w:color w:val="000000" w:themeColor="text1"/>
      <w:sz w:val="24"/>
    </w:rPr>
  </w:style>
  <w:style w:type="paragraph" w:customStyle="1" w:styleId="P68B1DB1-Normal30">
    <w:name w:val="P68B1DB1-Normal30"/>
    <w:basedOn w:val="Normal"/>
    <w:rPr>
      <w:rFonts w:asciiTheme="majorBidi" w:eastAsiaTheme="majorEastAsia" w:hAnsiTheme="majorBidi" w:cstheme="majorBidi"/>
      <w:b/>
      <w:sz w:val="24"/>
    </w:rPr>
  </w:style>
  <w:style w:type="paragraph" w:customStyle="1" w:styleId="P68B1DB1-Normal31">
    <w:name w:val="P68B1DB1-Normal31"/>
    <w:basedOn w:val="Normal"/>
    <w:rPr>
      <w:rFonts w:asciiTheme="majorBidi" w:eastAsiaTheme="majorEastAsia" w:hAnsiTheme="majorBidi" w:cstheme="majorBidi"/>
      <w:color w:val="000000" w:themeColor="text1"/>
      <w:sz w:val="24"/>
    </w:rPr>
  </w:style>
  <w:style w:type="paragraph" w:customStyle="1" w:styleId="P68B1DB1-Normal32">
    <w:name w:val="P68B1DB1-Normal32"/>
    <w:basedOn w:val="Normal"/>
    <w:rPr>
      <w:rFonts w:asciiTheme="majorBidi" w:hAnsiTheme="majorBidi" w:cstheme="majorBidi"/>
      <w:kern w:val="2"/>
      <w:sz w:val="20"/>
      <w14:ligatures w14:val="standardContextual"/>
    </w:rPr>
  </w:style>
  <w:style w:type="paragraph" w:customStyle="1" w:styleId="P68B1DB1-Normal33">
    <w:name w:val="P68B1DB1-Normal33"/>
    <w:basedOn w:val="Normal"/>
    <w:rPr>
      <w:rFonts w:asciiTheme="majorBidi" w:eastAsiaTheme="majorEastAsia" w:hAnsiTheme="majorBidi" w:cstheme="majorBidi"/>
      <w:b/>
    </w:rPr>
  </w:style>
  <w:style w:type="paragraph" w:customStyle="1" w:styleId="P68B1DB1-Footer34">
    <w:name w:val="P68B1DB1-Footer34"/>
    <w:basedOn w:val="Footer"/>
    <w:rPr>
      <w:caps/>
      <w:sz w:val="16"/>
    </w:rPr>
  </w:style>
  <w:style w:type="paragraph" w:styleId="HTMLPreformatted">
    <w:name w:val="HTML Preformatted"/>
    <w:basedOn w:val="Normal"/>
    <w:link w:val="HTMLPreformattedChar"/>
    <w:uiPriority w:val="99"/>
    <w:semiHidden/>
    <w:unhideWhenUsed/>
    <w:rsid w:val="00EE5350"/>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EE5350"/>
    <w:rPr>
      <w:rFonts w:ascii="Consolas" w:hAnsi="Consolas"/>
      <w:sz w:val="20"/>
    </w:rPr>
  </w:style>
  <w:style w:type="character" w:styleId="FollowedHyperlink">
    <w:name w:val="FollowedHyperlink"/>
    <w:basedOn w:val="DefaultParagraphFont"/>
    <w:uiPriority w:val="99"/>
    <w:semiHidden/>
    <w:unhideWhenUsed/>
    <w:rsid w:val="00DC20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133">
      <w:bodyDiv w:val="1"/>
      <w:marLeft w:val="0"/>
      <w:marRight w:val="0"/>
      <w:marTop w:val="0"/>
      <w:marBottom w:val="0"/>
      <w:divBdr>
        <w:top w:val="none" w:sz="0" w:space="0" w:color="auto"/>
        <w:left w:val="none" w:sz="0" w:space="0" w:color="auto"/>
        <w:bottom w:val="none" w:sz="0" w:space="0" w:color="auto"/>
        <w:right w:val="none" w:sz="0" w:space="0" w:color="auto"/>
      </w:divBdr>
    </w:div>
    <w:div w:id="39911764">
      <w:bodyDiv w:val="1"/>
      <w:marLeft w:val="0"/>
      <w:marRight w:val="0"/>
      <w:marTop w:val="0"/>
      <w:marBottom w:val="0"/>
      <w:divBdr>
        <w:top w:val="none" w:sz="0" w:space="0" w:color="auto"/>
        <w:left w:val="none" w:sz="0" w:space="0" w:color="auto"/>
        <w:bottom w:val="none" w:sz="0" w:space="0" w:color="auto"/>
        <w:right w:val="none" w:sz="0" w:space="0" w:color="auto"/>
      </w:divBdr>
    </w:div>
    <w:div w:id="83957216">
      <w:bodyDiv w:val="1"/>
      <w:marLeft w:val="0"/>
      <w:marRight w:val="0"/>
      <w:marTop w:val="0"/>
      <w:marBottom w:val="0"/>
      <w:divBdr>
        <w:top w:val="none" w:sz="0" w:space="0" w:color="auto"/>
        <w:left w:val="none" w:sz="0" w:space="0" w:color="auto"/>
        <w:bottom w:val="none" w:sz="0" w:space="0" w:color="auto"/>
        <w:right w:val="none" w:sz="0" w:space="0" w:color="auto"/>
      </w:divBdr>
    </w:div>
    <w:div w:id="123083736">
      <w:bodyDiv w:val="1"/>
      <w:marLeft w:val="0"/>
      <w:marRight w:val="0"/>
      <w:marTop w:val="0"/>
      <w:marBottom w:val="0"/>
      <w:divBdr>
        <w:top w:val="none" w:sz="0" w:space="0" w:color="auto"/>
        <w:left w:val="none" w:sz="0" w:space="0" w:color="auto"/>
        <w:bottom w:val="none" w:sz="0" w:space="0" w:color="auto"/>
        <w:right w:val="none" w:sz="0" w:space="0" w:color="auto"/>
      </w:divBdr>
      <w:divsChild>
        <w:div w:id="1447701618">
          <w:marLeft w:val="1886"/>
          <w:marRight w:val="0"/>
          <w:marTop w:val="0"/>
          <w:marBottom w:val="0"/>
          <w:divBdr>
            <w:top w:val="none" w:sz="0" w:space="0" w:color="auto"/>
            <w:left w:val="none" w:sz="0" w:space="0" w:color="auto"/>
            <w:bottom w:val="none" w:sz="0" w:space="0" w:color="auto"/>
            <w:right w:val="none" w:sz="0" w:space="0" w:color="auto"/>
          </w:divBdr>
        </w:div>
        <w:div w:id="1074669851">
          <w:marLeft w:val="1886"/>
          <w:marRight w:val="0"/>
          <w:marTop w:val="0"/>
          <w:marBottom w:val="0"/>
          <w:divBdr>
            <w:top w:val="none" w:sz="0" w:space="0" w:color="auto"/>
            <w:left w:val="none" w:sz="0" w:space="0" w:color="auto"/>
            <w:bottom w:val="none" w:sz="0" w:space="0" w:color="auto"/>
            <w:right w:val="none" w:sz="0" w:space="0" w:color="auto"/>
          </w:divBdr>
        </w:div>
        <w:div w:id="1466118297">
          <w:marLeft w:val="1886"/>
          <w:marRight w:val="0"/>
          <w:marTop w:val="0"/>
          <w:marBottom w:val="0"/>
          <w:divBdr>
            <w:top w:val="none" w:sz="0" w:space="0" w:color="auto"/>
            <w:left w:val="none" w:sz="0" w:space="0" w:color="auto"/>
            <w:bottom w:val="none" w:sz="0" w:space="0" w:color="auto"/>
            <w:right w:val="none" w:sz="0" w:space="0" w:color="auto"/>
          </w:divBdr>
        </w:div>
        <w:div w:id="2054693383">
          <w:marLeft w:val="1886"/>
          <w:marRight w:val="0"/>
          <w:marTop w:val="0"/>
          <w:marBottom w:val="0"/>
          <w:divBdr>
            <w:top w:val="none" w:sz="0" w:space="0" w:color="auto"/>
            <w:left w:val="none" w:sz="0" w:space="0" w:color="auto"/>
            <w:bottom w:val="none" w:sz="0" w:space="0" w:color="auto"/>
            <w:right w:val="none" w:sz="0" w:space="0" w:color="auto"/>
          </w:divBdr>
        </w:div>
      </w:divsChild>
    </w:div>
    <w:div w:id="172959275">
      <w:bodyDiv w:val="1"/>
      <w:marLeft w:val="0"/>
      <w:marRight w:val="0"/>
      <w:marTop w:val="0"/>
      <w:marBottom w:val="0"/>
      <w:divBdr>
        <w:top w:val="none" w:sz="0" w:space="0" w:color="auto"/>
        <w:left w:val="none" w:sz="0" w:space="0" w:color="auto"/>
        <w:bottom w:val="none" w:sz="0" w:space="0" w:color="auto"/>
        <w:right w:val="none" w:sz="0" w:space="0" w:color="auto"/>
      </w:divBdr>
    </w:div>
    <w:div w:id="180975832">
      <w:bodyDiv w:val="1"/>
      <w:marLeft w:val="0"/>
      <w:marRight w:val="0"/>
      <w:marTop w:val="0"/>
      <w:marBottom w:val="0"/>
      <w:divBdr>
        <w:top w:val="none" w:sz="0" w:space="0" w:color="auto"/>
        <w:left w:val="none" w:sz="0" w:space="0" w:color="auto"/>
        <w:bottom w:val="none" w:sz="0" w:space="0" w:color="auto"/>
        <w:right w:val="none" w:sz="0" w:space="0" w:color="auto"/>
      </w:divBdr>
    </w:div>
    <w:div w:id="196965182">
      <w:bodyDiv w:val="1"/>
      <w:marLeft w:val="0"/>
      <w:marRight w:val="0"/>
      <w:marTop w:val="0"/>
      <w:marBottom w:val="0"/>
      <w:divBdr>
        <w:top w:val="none" w:sz="0" w:space="0" w:color="auto"/>
        <w:left w:val="none" w:sz="0" w:space="0" w:color="auto"/>
        <w:bottom w:val="none" w:sz="0" w:space="0" w:color="auto"/>
        <w:right w:val="none" w:sz="0" w:space="0" w:color="auto"/>
      </w:divBdr>
    </w:div>
    <w:div w:id="259990318">
      <w:bodyDiv w:val="1"/>
      <w:marLeft w:val="0"/>
      <w:marRight w:val="0"/>
      <w:marTop w:val="0"/>
      <w:marBottom w:val="0"/>
      <w:divBdr>
        <w:top w:val="none" w:sz="0" w:space="0" w:color="auto"/>
        <w:left w:val="none" w:sz="0" w:space="0" w:color="auto"/>
        <w:bottom w:val="none" w:sz="0" w:space="0" w:color="auto"/>
        <w:right w:val="none" w:sz="0" w:space="0" w:color="auto"/>
      </w:divBdr>
    </w:div>
    <w:div w:id="282880793">
      <w:bodyDiv w:val="1"/>
      <w:marLeft w:val="0"/>
      <w:marRight w:val="0"/>
      <w:marTop w:val="0"/>
      <w:marBottom w:val="0"/>
      <w:divBdr>
        <w:top w:val="none" w:sz="0" w:space="0" w:color="auto"/>
        <w:left w:val="none" w:sz="0" w:space="0" w:color="auto"/>
        <w:bottom w:val="none" w:sz="0" w:space="0" w:color="auto"/>
        <w:right w:val="none" w:sz="0" w:space="0" w:color="auto"/>
      </w:divBdr>
    </w:div>
    <w:div w:id="340163652">
      <w:bodyDiv w:val="1"/>
      <w:marLeft w:val="0"/>
      <w:marRight w:val="0"/>
      <w:marTop w:val="0"/>
      <w:marBottom w:val="0"/>
      <w:divBdr>
        <w:top w:val="none" w:sz="0" w:space="0" w:color="auto"/>
        <w:left w:val="none" w:sz="0" w:space="0" w:color="auto"/>
        <w:bottom w:val="none" w:sz="0" w:space="0" w:color="auto"/>
        <w:right w:val="none" w:sz="0" w:space="0" w:color="auto"/>
      </w:divBdr>
    </w:div>
    <w:div w:id="341510342">
      <w:bodyDiv w:val="1"/>
      <w:marLeft w:val="0"/>
      <w:marRight w:val="0"/>
      <w:marTop w:val="0"/>
      <w:marBottom w:val="0"/>
      <w:divBdr>
        <w:top w:val="none" w:sz="0" w:space="0" w:color="auto"/>
        <w:left w:val="none" w:sz="0" w:space="0" w:color="auto"/>
        <w:bottom w:val="none" w:sz="0" w:space="0" w:color="auto"/>
        <w:right w:val="none" w:sz="0" w:space="0" w:color="auto"/>
      </w:divBdr>
    </w:div>
    <w:div w:id="356548373">
      <w:bodyDiv w:val="1"/>
      <w:marLeft w:val="0"/>
      <w:marRight w:val="0"/>
      <w:marTop w:val="0"/>
      <w:marBottom w:val="0"/>
      <w:divBdr>
        <w:top w:val="none" w:sz="0" w:space="0" w:color="auto"/>
        <w:left w:val="none" w:sz="0" w:space="0" w:color="auto"/>
        <w:bottom w:val="none" w:sz="0" w:space="0" w:color="auto"/>
        <w:right w:val="none" w:sz="0" w:space="0" w:color="auto"/>
      </w:divBdr>
    </w:div>
    <w:div w:id="364600060">
      <w:bodyDiv w:val="1"/>
      <w:marLeft w:val="0"/>
      <w:marRight w:val="0"/>
      <w:marTop w:val="0"/>
      <w:marBottom w:val="0"/>
      <w:divBdr>
        <w:top w:val="none" w:sz="0" w:space="0" w:color="auto"/>
        <w:left w:val="none" w:sz="0" w:space="0" w:color="auto"/>
        <w:bottom w:val="none" w:sz="0" w:space="0" w:color="auto"/>
        <w:right w:val="none" w:sz="0" w:space="0" w:color="auto"/>
      </w:divBdr>
    </w:div>
    <w:div w:id="365716701">
      <w:bodyDiv w:val="1"/>
      <w:marLeft w:val="0"/>
      <w:marRight w:val="0"/>
      <w:marTop w:val="0"/>
      <w:marBottom w:val="0"/>
      <w:divBdr>
        <w:top w:val="none" w:sz="0" w:space="0" w:color="auto"/>
        <w:left w:val="none" w:sz="0" w:space="0" w:color="auto"/>
        <w:bottom w:val="none" w:sz="0" w:space="0" w:color="auto"/>
        <w:right w:val="none" w:sz="0" w:space="0" w:color="auto"/>
      </w:divBdr>
    </w:div>
    <w:div w:id="376781120">
      <w:bodyDiv w:val="1"/>
      <w:marLeft w:val="0"/>
      <w:marRight w:val="0"/>
      <w:marTop w:val="0"/>
      <w:marBottom w:val="0"/>
      <w:divBdr>
        <w:top w:val="none" w:sz="0" w:space="0" w:color="auto"/>
        <w:left w:val="none" w:sz="0" w:space="0" w:color="auto"/>
        <w:bottom w:val="none" w:sz="0" w:space="0" w:color="auto"/>
        <w:right w:val="none" w:sz="0" w:space="0" w:color="auto"/>
      </w:divBdr>
    </w:div>
    <w:div w:id="572812431">
      <w:bodyDiv w:val="1"/>
      <w:marLeft w:val="0"/>
      <w:marRight w:val="0"/>
      <w:marTop w:val="0"/>
      <w:marBottom w:val="0"/>
      <w:divBdr>
        <w:top w:val="none" w:sz="0" w:space="0" w:color="auto"/>
        <w:left w:val="none" w:sz="0" w:space="0" w:color="auto"/>
        <w:bottom w:val="none" w:sz="0" w:space="0" w:color="auto"/>
        <w:right w:val="none" w:sz="0" w:space="0" w:color="auto"/>
      </w:divBdr>
    </w:div>
    <w:div w:id="596255509">
      <w:bodyDiv w:val="1"/>
      <w:marLeft w:val="0"/>
      <w:marRight w:val="0"/>
      <w:marTop w:val="0"/>
      <w:marBottom w:val="0"/>
      <w:divBdr>
        <w:top w:val="none" w:sz="0" w:space="0" w:color="auto"/>
        <w:left w:val="none" w:sz="0" w:space="0" w:color="auto"/>
        <w:bottom w:val="none" w:sz="0" w:space="0" w:color="auto"/>
        <w:right w:val="none" w:sz="0" w:space="0" w:color="auto"/>
      </w:divBdr>
    </w:div>
    <w:div w:id="651525822">
      <w:bodyDiv w:val="1"/>
      <w:marLeft w:val="0"/>
      <w:marRight w:val="0"/>
      <w:marTop w:val="0"/>
      <w:marBottom w:val="0"/>
      <w:divBdr>
        <w:top w:val="none" w:sz="0" w:space="0" w:color="auto"/>
        <w:left w:val="none" w:sz="0" w:space="0" w:color="auto"/>
        <w:bottom w:val="none" w:sz="0" w:space="0" w:color="auto"/>
        <w:right w:val="none" w:sz="0" w:space="0" w:color="auto"/>
      </w:divBdr>
      <w:divsChild>
        <w:div w:id="543954386">
          <w:marLeft w:val="720"/>
          <w:marRight w:val="0"/>
          <w:marTop w:val="200"/>
          <w:marBottom w:val="0"/>
          <w:divBdr>
            <w:top w:val="none" w:sz="0" w:space="0" w:color="auto"/>
            <w:left w:val="none" w:sz="0" w:space="0" w:color="auto"/>
            <w:bottom w:val="none" w:sz="0" w:space="0" w:color="auto"/>
            <w:right w:val="none" w:sz="0" w:space="0" w:color="auto"/>
          </w:divBdr>
        </w:div>
        <w:div w:id="765686979">
          <w:marLeft w:val="720"/>
          <w:marRight w:val="0"/>
          <w:marTop w:val="200"/>
          <w:marBottom w:val="0"/>
          <w:divBdr>
            <w:top w:val="none" w:sz="0" w:space="0" w:color="auto"/>
            <w:left w:val="none" w:sz="0" w:space="0" w:color="auto"/>
            <w:bottom w:val="none" w:sz="0" w:space="0" w:color="auto"/>
            <w:right w:val="none" w:sz="0" w:space="0" w:color="auto"/>
          </w:divBdr>
        </w:div>
        <w:div w:id="822701561">
          <w:marLeft w:val="720"/>
          <w:marRight w:val="0"/>
          <w:marTop w:val="200"/>
          <w:marBottom w:val="0"/>
          <w:divBdr>
            <w:top w:val="none" w:sz="0" w:space="0" w:color="auto"/>
            <w:left w:val="none" w:sz="0" w:space="0" w:color="auto"/>
            <w:bottom w:val="none" w:sz="0" w:space="0" w:color="auto"/>
            <w:right w:val="none" w:sz="0" w:space="0" w:color="auto"/>
          </w:divBdr>
        </w:div>
        <w:div w:id="834764700">
          <w:marLeft w:val="720"/>
          <w:marRight w:val="0"/>
          <w:marTop w:val="200"/>
          <w:marBottom w:val="0"/>
          <w:divBdr>
            <w:top w:val="none" w:sz="0" w:space="0" w:color="auto"/>
            <w:left w:val="none" w:sz="0" w:space="0" w:color="auto"/>
            <w:bottom w:val="none" w:sz="0" w:space="0" w:color="auto"/>
            <w:right w:val="none" w:sz="0" w:space="0" w:color="auto"/>
          </w:divBdr>
        </w:div>
        <w:div w:id="882327997">
          <w:marLeft w:val="720"/>
          <w:marRight w:val="0"/>
          <w:marTop w:val="200"/>
          <w:marBottom w:val="0"/>
          <w:divBdr>
            <w:top w:val="none" w:sz="0" w:space="0" w:color="auto"/>
            <w:left w:val="none" w:sz="0" w:space="0" w:color="auto"/>
            <w:bottom w:val="none" w:sz="0" w:space="0" w:color="auto"/>
            <w:right w:val="none" w:sz="0" w:space="0" w:color="auto"/>
          </w:divBdr>
        </w:div>
      </w:divsChild>
    </w:div>
    <w:div w:id="783964721">
      <w:bodyDiv w:val="1"/>
      <w:marLeft w:val="0"/>
      <w:marRight w:val="0"/>
      <w:marTop w:val="0"/>
      <w:marBottom w:val="0"/>
      <w:divBdr>
        <w:top w:val="none" w:sz="0" w:space="0" w:color="auto"/>
        <w:left w:val="none" w:sz="0" w:space="0" w:color="auto"/>
        <w:bottom w:val="none" w:sz="0" w:space="0" w:color="auto"/>
        <w:right w:val="none" w:sz="0" w:space="0" w:color="auto"/>
      </w:divBdr>
    </w:div>
    <w:div w:id="795030318">
      <w:bodyDiv w:val="1"/>
      <w:marLeft w:val="0"/>
      <w:marRight w:val="0"/>
      <w:marTop w:val="0"/>
      <w:marBottom w:val="0"/>
      <w:divBdr>
        <w:top w:val="none" w:sz="0" w:space="0" w:color="auto"/>
        <w:left w:val="none" w:sz="0" w:space="0" w:color="auto"/>
        <w:bottom w:val="none" w:sz="0" w:space="0" w:color="auto"/>
        <w:right w:val="none" w:sz="0" w:space="0" w:color="auto"/>
      </w:divBdr>
      <w:divsChild>
        <w:div w:id="265231203">
          <w:marLeft w:val="720"/>
          <w:marRight w:val="0"/>
          <w:marTop w:val="200"/>
          <w:marBottom w:val="0"/>
          <w:divBdr>
            <w:top w:val="none" w:sz="0" w:space="0" w:color="auto"/>
            <w:left w:val="none" w:sz="0" w:space="0" w:color="auto"/>
            <w:bottom w:val="none" w:sz="0" w:space="0" w:color="auto"/>
            <w:right w:val="none" w:sz="0" w:space="0" w:color="auto"/>
          </w:divBdr>
        </w:div>
        <w:div w:id="876356136">
          <w:marLeft w:val="720"/>
          <w:marRight w:val="0"/>
          <w:marTop w:val="200"/>
          <w:marBottom w:val="0"/>
          <w:divBdr>
            <w:top w:val="none" w:sz="0" w:space="0" w:color="auto"/>
            <w:left w:val="none" w:sz="0" w:space="0" w:color="auto"/>
            <w:bottom w:val="none" w:sz="0" w:space="0" w:color="auto"/>
            <w:right w:val="none" w:sz="0" w:space="0" w:color="auto"/>
          </w:divBdr>
        </w:div>
        <w:div w:id="1503427719">
          <w:marLeft w:val="720"/>
          <w:marRight w:val="0"/>
          <w:marTop w:val="200"/>
          <w:marBottom w:val="0"/>
          <w:divBdr>
            <w:top w:val="none" w:sz="0" w:space="0" w:color="auto"/>
            <w:left w:val="none" w:sz="0" w:space="0" w:color="auto"/>
            <w:bottom w:val="none" w:sz="0" w:space="0" w:color="auto"/>
            <w:right w:val="none" w:sz="0" w:space="0" w:color="auto"/>
          </w:divBdr>
        </w:div>
        <w:div w:id="1737240577">
          <w:marLeft w:val="720"/>
          <w:marRight w:val="0"/>
          <w:marTop w:val="200"/>
          <w:marBottom w:val="0"/>
          <w:divBdr>
            <w:top w:val="none" w:sz="0" w:space="0" w:color="auto"/>
            <w:left w:val="none" w:sz="0" w:space="0" w:color="auto"/>
            <w:bottom w:val="none" w:sz="0" w:space="0" w:color="auto"/>
            <w:right w:val="none" w:sz="0" w:space="0" w:color="auto"/>
          </w:divBdr>
        </w:div>
      </w:divsChild>
    </w:div>
    <w:div w:id="875659163">
      <w:bodyDiv w:val="1"/>
      <w:marLeft w:val="0"/>
      <w:marRight w:val="0"/>
      <w:marTop w:val="0"/>
      <w:marBottom w:val="0"/>
      <w:divBdr>
        <w:top w:val="none" w:sz="0" w:space="0" w:color="auto"/>
        <w:left w:val="none" w:sz="0" w:space="0" w:color="auto"/>
        <w:bottom w:val="none" w:sz="0" w:space="0" w:color="auto"/>
        <w:right w:val="none" w:sz="0" w:space="0" w:color="auto"/>
      </w:divBdr>
    </w:div>
    <w:div w:id="928001261">
      <w:bodyDiv w:val="1"/>
      <w:marLeft w:val="0"/>
      <w:marRight w:val="0"/>
      <w:marTop w:val="0"/>
      <w:marBottom w:val="0"/>
      <w:divBdr>
        <w:top w:val="none" w:sz="0" w:space="0" w:color="auto"/>
        <w:left w:val="none" w:sz="0" w:space="0" w:color="auto"/>
        <w:bottom w:val="none" w:sz="0" w:space="0" w:color="auto"/>
        <w:right w:val="none" w:sz="0" w:space="0" w:color="auto"/>
      </w:divBdr>
    </w:div>
    <w:div w:id="933787319">
      <w:bodyDiv w:val="1"/>
      <w:marLeft w:val="0"/>
      <w:marRight w:val="0"/>
      <w:marTop w:val="0"/>
      <w:marBottom w:val="0"/>
      <w:divBdr>
        <w:top w:val="none" w:sz="0" w:space="0" w:color="auto"/>
        <w:left w:val="none" w:sz="0" w:space="0" w:color="auto"/>
        <w:bottom w:val="none" w:sz="0" w:space="0" w:color="auto"/>
        <w:right w:val="none" w:sz="0" w:space="0" w:color="auto"/>
      </w:divBdr>
    </w:div>
    <w:div w:id="937327494">
      <w:bodyDiv w:val="1"/>
      <w:marLeft w:val="0"/>
      <w:marRight w:val="0"/>
      <w:marTop w:val="0"/>
      <w:marBottom w:val="0"/>
      <w:divBdr>
        <w:top w:val="none" w:sz="0" w:space="0" w:color="auto"/>
        <w:left w:val="none" w:sz="0" w:space="0" w:color="auto"/>
        <w:bottom w:val="none" w:sz="0" w:space="0" w:color="auto"/>
        <w:right w:val="none" w:sz="0" w:space="0" w:color="auto"/>
      </w:divBdr>
    </w:div>
    <w:div w:id="965042141">
      <w:bodyDiv w:val="1"/>
      <w:marLeft w:val="0"/>
      <w:marRight w:val="0"/>
      <w:marTop w:val="0"/>
      <w:marBottom w:val="0"/>
      <w:divBdr>
        <w:top w:val="none" w:sz="0" w:space="0" w:color="auto"/>
        <w:left w:val="none" w:sz="0" w:space="0" w:color="auto"/>
        <w:bottom w:val="none" w:sz="0" w:space="0" w:color="auto"/>
        <w:right w:val="none" w:sz="0" w:space="0" w:color="auto"/>
      </w:divBdr>
    </w:div>
    <w:div w:id="1085420971">
      <w:bodyDiv w:val="1"/>
      <w:marLeft w:val="0"/>
      <w:marRight w:val="0"/>
      <w:marTop w:val="0"/>
      <w:marBottom w:val="0"/>
      <w:divBdr>
        <w:top w:val="none" w:sz="0" w:space="0" w:color="auto"/>
        <w:left w:val="none" w:sz="0" w:space="0" w:color="auto"/>
        <w:bottom w:val="none" w:sz="0" w:space="0" w:color="auto"/>
        <w:right w:val="none" w:sz="0" w:space="0" w:color="auto"/>
      </w:divBdr>
    </w:div>
    <w:div w:id="1085878226">
      <w:bodyDiv w:val="1"/>
      <w:marLeft w:val="0"/>
      <w:marRight w:val="0"/>
      <w:marTop w:val="0"/>
      <w:marBottom w:val="0"/>
      <w:divBdr>
        <w:top w:val="none" w:sz="0" w:space="0" w:color="auto"/>
        <w:left w:val="none" w:sz="0" w:space="0" w:color="auto"/>
        <w:bottom w:val="none" w:sz="0" w:space="0" w:color="auto"/>
        <w:right w:val="none" w:sz="0" w:space="0" w:color="auto"/>
      </w:divBdr>
    </w:div>
    <w:div w:id="1170604477">
      <w:bodyDiv w:val="1"/>
      <w:marLeft w:val="0"/>
      <w:marRight w:val="0"/>
      <w:marTop w:val="0"/>
      <w:marBottom w:val="0"/>
      <w:divBdr>
        <w:top w:val="none" w:sz="0" w:space="0" w:color="auto"/>
        <w:left w:val="none" w:sz="0" w:space="0" w:color="auto"/>
        <w:bottom w:val="none" w:sz="0" w:space="0" w:color="auto"/>
        <w:right w:val="none" w:sz="0" w:space="0" w:color="auto"/>
      </w:divBdr>
    </w:div>
    <w:div w:id="1241982898">
      <w:bodyDiv w:val="1"/>
      <w:marLeft w:val="0"/>
      <w:marRight w:val="0"/>
      <w:marTop w:val="0"/>
      <w:marBottom w:val="0"/>
      <w:divBdr>
        <w:top w:val="none" w:sz="0" w:space="0" w:color="auto"/>
        <w:left w:val="none" w:sz="0" w:space="0" w:color="auto"/>
        <w:bottom w:val="none" w:sz="0" w:space="0" w:color="auto"/>
        <w:right w:val="none" w:sz="0" w:space="0" w:color="auto"/>
      </w:divBdr>
    </w:div>
    <w:div w:id="1319846764">
      <w:bodyDiv w:val="1"/>
      <w:marLeft w:val="0"/>
      <w:marRight w:val="0"/>
      <w:marTop w:val="0"/>
      <w:marBottom w:val="0"/>
      <w:divBdr>
        <w:top w:val="none" w:sz="0" w:space="0" w:color="auto"/>
        <w:left w:val="none" w:sz="0" w:space="0" w:color="auto"/>
        <w:bottom w:val="none" w:sz="0" w:space="0" w:color="auto"/>
        <w:right w:val="none" w:sz="0" w:space="0" w:color="auto"/>
      </w:divBdr>
    </w:div>
    <w:div w:id="1343044062">
      <w:bodyDiv w:val="1"/>
      <w:marLeft w:val="0"/>
      <w:marRight w:val="0"/>
      <w:marTop w:val="0"/>
      <w:marBottom w:val="0"/>
      <w:divBdr>
        <w:top w:val="none" w:sz="0" w:space="0" w:color="auto"/>
        <w:left w:val="none" w:sz="0" w:space="0" w:color="auto"/>
        <w:bottom w:val="none" w:sz="0" w:space="0" w:color="auto"/>
        <w:right w:val="none" w:sz="0" w:space="0" w:color="auto"/>
      </w:divBdr>
    </w:div>
    <w:div w:id="1361011834">
      <w:bodyDiv w:val="1"/>
      <w:marLeft w:val="0"/>
      <w:marRight w:val="0"/>
      <w:marTop w:val="0"/>
      <w:marBottom w:val="0"/>
      <w:divBdr>
        <w:top w:val="none" w:sz="0" w:space="0" w:color="auto"/>
        <w:left w:val="none" w:sz="0" w:space="0" w:color="auto"/>
        <w:bottom w:val="none" w:sz="0" w:space="0" w:color="auto"/>
        <w:right w:val="none" w:sz="0" w:space="0" w:color="auto"/>
      </w:divBdr>
    </w:div>
    <w:div w:id="1366521004">
      <w:bodyDiv w:val="1"/>
      <w:marLeft w:val="0"/>
      <w:marRight w:val="0"/>
      <w:marTop w:val="0"/>
      <w:marBottom w:val="0"/>
      <w:divBdr>
        <w:top w:val="none" w:sz="0" w:space="0" w:color="auto"/>
        <w:left w:val="none" w:sz="0" w:space="0" w:color="auto"/>
        <w:bottom w:val="none" w:sz="0" w:space="0" w:color="auto"/>
        <w:right w:val="none" w:sz="0" w:space="0" w:color="auto"/>
      </w:divBdr>
    </w:div>
    <w:div w:id="1373798146">
      <w:bodyDiv w:val="1"/>
      <w:marLeft w:val="0"/>
      <w:marRight w:val="0"/>
      <w:marTop w:val="0"/>
      <w:marBottom w:val="0"/>
      <w:divBdr>
        <w:top w:val="none" w:sz="0" w:space="0" w:color="auto"/>
        <w:left w:val="none" w:sz="0" w:space="0" w:color="auto"/>
        <w:bottom w:val="none" w:sz="0" w:space="0" w:color="auto"/>
        <w:right w:val="none" w:sz="0" w:space="0" w:color="auto"/>
      </w:divBdr>
    </w:div>
    <w:div w:id="1401052393">
      <w:bodyDiv w:val="1"/>
      <w:marLeft w:val="0"/>
      <w:marRight w:val="0"/>
      <w:marTop w:val="0"/>
      <w:marBottom w:val="0"/>
      <w:divBdr>
        <w:top w:val="none" w:sz="0" w:space="0" w:color="auto"/>
        <w:left w:val="none" w:sz="0" w:space="0" w:color="auto"/>
        <w:bottom w:val="none" w:sz="0" w:space="0" w:color="auto"/>
        <w:right w:val="none" w:sz="0" w:space="0" w:color="auto"/>
      </w:divBdr>
    </w:div>
    <w:div w:id="1434132633">
      <w:bodyDiv w:val="1"/>
      <w:marLeft w:val="0"/>
      <w:marRight w:val="0"/>
      <w:marTop w:val="0"/>
      <w:marBottom w:val="0"/>
      <w:divBdr>
        <w:top w:val="none" w:sz="0" w:space="0" w:color="auto"/>
        <w:left w:val="none" w:sz="0" w:space="0" w:color="auto"/>
        <w:bottom w:val="none" w:sz="0" w:space="0" w:color="auto"/>
        <w:right w:val="none" w:sz="0" w:space="0" w:color="auto"/>
      </w:divBdr>
      <w:divsChild>
        <w:div w:id="135145573">
          <w:marLeft w:val="1886"/>
          <w:marRight w:val="0"/>
          <w:marTop w:val="0"/>
          <w:marBottom w:val="0"/>
          <w:divBdr>
            <w:top w:val="none" w:sz="0" w:space="0" w:color="auto"/>
            <w:left w:val="none" w:sz="0" w:space="0" w:color="auto"/>
            <w:bottom w:val="none" w:sz="0" w:space="0" w:color="auto"/>
            <w:right w:val="none" w:sz="0" w:space="0" w:color="auto"/>
          </w:divBdr>
        </w:div>
        <w:div w:id="787964980">
          <w:marLeft w:val="1886"/>
          <w:marRight w:val="0"/>
          <w:marTop w:val="0"/>
          <w:marBottom w:val="0"/>
          <w:divBdr>
            <w:top w:val="none" w:sz="0" w:space="0" w:color="auto"/>
            <w:left w:val="none" w:sz="0" w:space="0" w:color="auto"/>
            <w:bottom w:val="none" w:sz="0" w:space="0" w:color="auto"/>
            <w:right w:val="none" w:sz="0" w:space="0" w:color="auto"/>
          </w:divBdr>
        </w:div>
        <w:div w:id="522744119">
          <w:marLeft w:val="1886"/>
          <w:marRight w:val="0"/>
          <w:marTop w:val="0"/>
          <w:marBottom w:val="0"/>
          <w:divBdr>
            <w:top w:val="none" w:sz="0" w:space="0" w:color="auto"/>
            <w:left w:val="none" w:sz="0" w:space="0" w:color="auto"/>
            <w:bottom w:val="none" w:sz="0" w:space="0" w:color="auto"/>
            <w:right w:val="none" w:sz="0" w:space="0" w:color="auto"/>
          </w:divBdr>
        </w:div>
        <w:div w:id="207882893">
          <w:marLeft w:val="1886"/>
          <w:marRight w:val="0"/>
          <w:marTop w:val="0"/>
          <w:marBottom w:val="0"/>
          <w:divBdr>
            <w:top w:val="none" w:sz="0" w:space="0" w:color="auto"/>
            <w:left w:val="none" w:sz="0" w:space="0" w:color="auto"/>
            <w:bottom w:val="none" w:sz="0" w:space="0" w:color="auto"/>
            <w:right w:val="none" w:sz="0" w:space="0" w:color="auto"/>
          </w:divBdr>
        </w:div>
      </w:divsChild>
    </w:div>
    <w:div w:id="1527257622">
      <w:bodyDiv w:val="1"/>
      <w:marLeft w:val="0"/>
      <w:marRight w:val="0"/>
      <w:marTop w:val="0"/>
      <w:marBottom w:val="0"/>
      <w:divBdr>
        <w:top w:val="none" w:sz="0" w:space="0" w:color="auto"/>
        <w:left w:val="none" w:sz="0" w:space="0" w:color="auto"/>
        <w:bottom w:val="none" w:sz="0" w:space="0" w:color="auto"/>
        <w:right w:val="none" w:sz="0" w:space="0" w:color="auto"/>
      </w:divBdr>
    </w:div>
    <w:div w:id="1669480020">
      <w:bodyDiv w:val="1"/>
      <w:marLeft w:val="0"/>
      <w:marRight w:val="0"/>
      <w:marTop w:val="0"/>
      <w:marBottom w:val="0"/>
      <w:divBdr>
        <w:top w:val="none" w:sz="0" w:space="0" w:color="auto"/>
        <w:left w:val="none" w:sz="0" w:space="0" w:color="auto"/>
        <w:bottom w:val="none" w:sz="0" w:space="0" w:color="auto"/>
        <w:right w:val="none" w:sz="0" w:space="0" w:color="auto"/>
      </w:divBdr>
    </w:div>
    <w:div w:id="1691566789">
      <w:bodyDiv w:val="1"/>
      <w:marLeft w:val="0"/>
      <w:marRight w:val="0"/>
      <w:marTop w:val="0"/>
      <w:marBottom w:val="0"/>
      <w:divBdr>
        <w:top w:val="none" w:sz="0" w:space="0" w:color="auto"/>
        <w:left w:val="none" w:sz="0" w:space="0" w:color="auto"/>
        <w:bottom w:val="none" w:sz="0" w:space="0" w:color="auto"/>
        <w:right w:val="none" w:sz="0" w:space="0" w:color="auto"/>
      </w:divBdr>
    </w:div>
    <w:div w:id="1719359470">
      <w:bodyDiv w:val="1"/>
      <w:marLeft w:val="0"/>
      <w:marRight w:val="0"/>
      <w:marTop w:val="0"/>
      <w:marBottom w:val="0"/>
      <w:divBdr>
        <w:top w:val="none" w:sz="0" w:space="0" w:color="auto"/>
        <w:left w:val="none" w:sz="0" w:space="0" w:color="auto"/>
        <w:bottom w:val="none" w:sz="0" w:space="0" w:color="auto"/>
        <w:right w:val="none" w:sz="0" w:space="0" w:color="auto"/>
      </w:divBdr>
    </w:div>
    <w:div w:id="1779374100">
      <w:bodyDiv w:val="1"/>
      <w:marLeft w:val="0"/>
      <w:marRight w:val="0"/>
      <w:marTop w:val="0"/>
      <w:marBottom w:val="0"/>
      <w:divBdr>
        <w:top w:val="none" w:sz="0" w:space="0" w:color="auto"/>
        <w:left w:val="none" w:sz="0" w:space="0" w:color="auto"/>
        <w:bottom w:val="none" w:sz="0" w:space="0" w:color="auto"/>
        <w:right w:val="none" w:sz="0" w:space="0" w:color="auto"/>
      </w:divBdr>
    </w:div>
    <w:div w:id="1841197646">
      <w:bodyDiv w:val="1"/>
      <w:marLeft w:val="0"/>
      <w:marRight w:val="0"/>
      <w:marTop w:val="0"/>
      <w:marBottom w:val="0"/>
      <w:divBdr>
        <w:top w:val="none" w:sz="0" w:space="0" w:color="auto"/>
        <w:left w:val="none" w:sz="0" w:space="0" w:color="auto"/>
        <w:bottom w:val="none" w:sz="0" w:space="0" w:color="auto"/>
        <w:right w:val="none" w:sz="0" w:space="0" w:color="auto"/>
      </w:divBdr>
    </w:div>
    <w:div w:id="1845128076">
      <w:bodyDiv w:val="1"/>
      <w:marLeft w:val="0"/>
      <w:marRight w:val="0"/>
      <w:marTop w:val="0"/>
      <w:marBottom w:val="0"/>
      <w:divBdr>
        <w:top w:val="none" w:sz="0" w:space="0" w:color="auto"/>
        <w:left w:val="none" w:sz="0" w:space="0" w:color="auto"/>
        <w:bottom w:val="none" w:sz="0" w:space="0" w:color="auto"/>
        <w:right w:val="none" w:sz="0" w:space="0" w:color="auto"/>
      </w:divBdr>
    </w:div>
    <w:div w:id="1896162009">
      <w:bodyDiv w:val="1"/>
      <w:marLeft w:val="0"/>
      <w:marRight w:val="0"/>
      <w:marTop w:val="0"/>
      <w:marBottom w:val="0"/>
      <w:divBdr>
        <w:top w:val="none" w:sz="0" w:space="0" w:color="auto"/>
        <w:left w:val="none" w:sz="0" w:space="0" w:color="auto"/>
        <w:bottom w:val="none" w:sz="0" w:space="0" w:color="auto"/>
        <w:right w:val="none" w:sz="0" w:space="0" w:color="auto"/>
      </w:divBdr>
    </w:div>
    <w:div w:id="1904633569">
      <w:bodyDiv w:val="1"/>
      <w:marLeft w:val="0"/>
      <w:marRight w:val="0"/>
      <w:marTop w:val="0"/>
      <w:marBottom w:val="0"/>
      <w:divBdr>
        <w:top w:val="none" w:sz="0" w:space="0" w:color="auto"/>
        <w:left w:val="none" w:sz="0" w:space="0" w:color="auto"/>
        <w:bottom w:val="none" w:sz="0" w:space="0" w:color="auto"/>
        <w:right w:val="none" w:sz="0" w:space="0" w:color="auto"/>
      </w:divBdr>
    </w:div>
    <w:div w:id="1927422750">
      <w:bodyDiv w:val="1"/>
      <w:marLeft w:val="0"/>
      <w:marRight w:val="0"/>
      <w:marTop w:val="0"/>
      <w:marBottom w:val="0"/>
      <w:divBdr>
        <w:top w:val="none" w:sz="0" w:space="0" w:color="auto"/>
        <w:left w:val="none" w:sz="0" w:space="0" w:color="auto"/>
        <w:bottom w:val="none" w:sz="0" w:space="0" w:color="auto"/>
        <w:right w:val="none" w:sz="0" w:space="0" w:color="auto"/>
      </w:divBdr>
      <w:divsChild>
        <w:div w:id="321739077">
          <w:marLeft w:val="720"/>
          <w:marRight w:val="0"/>
          <w:marTop w:val="200"/>
          <w:marBottom w:val="0"/>
          <w:divBdr>
            <w:top w:val="none" w:sz="0" w:space="0" w:color="auto"/>
            <w:left w:val="none" w:sz="0" w:space="0" w:color="auto"/>
            <w:bottom w:val="none" w:sz="0" w:space="0" w:color="auto"/>
            <w:right w:val="none" w:sz="0" w:space="0" w:color="auto"/>
          </w:divBdr>
        </w:div>
        <w:div w:id="846792113">
          <w:marLeft w:val="720"/>
          <w:marRight w:val="0"/>
          <w:marTop w:val="200"/>
          <w:marBottom w:val="0"/>
          <w:divBdr>
            <w:top w:val="none" w:sz="0" w:space="0" w:color="auto"/>
            <w:left w:val="none" w:sz="0" w:space="0" w:color="auto"/>
            <w:bottom w:val="none" w:sz="0" w:space="0" w:color="auto"/>
            <w:right w:val="none" w:sz="0" w:space="0" w:color="auto"/>
          </w:divBdr>
        </w:div>
        <w:div w:id="924803172">
          <w:marLeft w:val="720"/>
          <w:marRight w:val="0"/>
          <w:marTop w:val="200"/>
          <w:marBottom w:val="0"/>
          <w:divBdr>
            <w:top w:val="none" w:sz="0" w:space="0" w:color="auto"/>
            <w:left w:val="none" w:sz="0" w:space="0" w:color="auto"/>
            <w:bottom w:val="none" w:sz="0" w:space="0" w:color="auto"/>
            <w:right w:val="none" w:sz="0" w:space="0" w:color="auto"/>
          </w:divBdr>
        </w:div>
      </w:divsChild>
    </w:div>
    <w:div w:id="1953317319">
      <w:bodyDiv w:val="1"/>
      <w:marLeft w:val="0"/>
      <w:marRight w:val="0"/>
      <w:marTop w:val="0"/>
      <w:marBottom w:val="0"/>
      <w:divBdr>
        <w:top w:val="none" w:sz="0" w:space="0" w:color="auto"/>
        <w:left w:val="none" w:sz="0" w:space="0" w:color="auto"/>
        <w:bottom w:val="none" w:sz="0" w:space="0" w:color="auto"/>
        <w:right w:val="none" w:sz="0" w:space="0" w:color="auto"/>
      </w:divBdr>
    </w:div>
    <w:div w:id="2002077170">
      <w:bodyDiv w:val="1"/>
      <w:marLeft w:val="0"/>
      <w:marRight w:val="0"/>
      <w:marTop w:val="0"/>
      <w:marBottom w:val="0"/>
      <w:divBdr>
        <w:top w:val="none" w:sz="0" w:space="0" w:color="auto"/>
        <w:left w:val="none" w:sz="0" w:space="0" w:color="auto"/>
        <w:bottom w:val="none" w:sz="0" w:space="0" w:color="auto"/>
        <w:right w:val="none" w:sz="0" w:space="0" w:color="auto"/>
      </w:divBdr>
    </w:div>
    <w:div w:id="2027251089">
      <w:bodyDiv w:val="1"/>
      <w:marLeft w:val="0"/>
      <w:marRight w:val="0"/>
      <w:marTop w:val="0"/>
      <w:marBottom w:val="0"/>
      <w:divBdr>
        <w:top w:val="none" w:sz="0" w:space="0" w:color="auto"/>
        <w:left w:val="none" w:sz="0" w:space="0" w:color="auto"/>
        <w:bottom w:val="none" w:sz="0" w:space="0" w:color="auto"/>
        <w:right w:val="none" w:sz="0" w:space="0" w:color="auto"/>
      </w:divBdr>
    </w:div>
    <w:div w:id="209801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gle/G1y1s4GLbFytK5v16"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unstats.un.org/wiki/display/EGNQAFSA/EG-NQAF+Subgroup+on+admin+and+other+data+sources" TargetMode="External"/><Relationship Id="rId7" Type="http://schemas.openxmlformats.org/officeDocument/2006/relationships/hyperlink" Target="https://sdmx.org/?page_id=5096" TargetMode="External"/><Relationship Id="rId2" Type="http://schemas.openxmlformats.org/officeDocument/2006/relationships/hyperlink" Target="https://unstats.un.org/wiki/pages/viewpage.action?pageId=224264259" TargetMode="External"/><Relationship Id="rId1" Type="http://schemas.openxmlformats.org/officeDocument/2006/relationships/hyperlink" Target="https://unstats.un.org/unsd/methodology/dataquality/roadmap/" TargetMode="External"/><Relationship Id="rId6" Type="http://schemas.openxmlformats.org/officeDocument/2006/relationships/hyperlink" Target="https://ec.europa.eu/eurostat/web/products-manuals-and-guidelines/-/KS-GQ-21-021" TargetMode="External"/><Relationship Id="rId5" Type="http://schemas.openxmlformats.org/officeDocument/2006/relationships/hyperlink" Target="https://unstats.un.org/wiki/pages/viewpage.action?pageId=224264259" TargetMode="External"/><Relationship Id="rId4" Type="http://schemas.openxmlformats.org/officeDocument/2006/relationships/hyperlink" Target="https://unstats.un.org/UNSDWebsite/data-quality/user-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1949afd-ee9b-4e37-9cbf-75bb420483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49FE7EE813BC42A62D228DF04E749F" ma:contentTypeVersion="15" ma:contentTypeDescription="Create a new document." ma:contentTypeScope="" ma:versionID="4786f3d2add87e6a91be81b17b13637f">
  <xsd:schema xmlns:xsd="http://www.w3.org/2001/XMLSchema" xmlns:xs="http://www.w3.org/2001/XMLSchema" xmlns:p="http://schemas.microsoft.com/office/2006/metadata/properties" xmlns:ns3="c1949afd-ee9b-4e37-9cbf-75bb42048334" xmlns:ns4="9aec9760-0c78-4a95-a274-d126cab3eff9" targetNamespace="http://schemas.microsoft.com/office/2006/metadata/properties" ma:root="true" ma:fieldsID="a62e6f251eee31a1a7d61f5fc6f71fd1" ns3:_="" ns4:_="">
    <xsd:import namespace="c1949afd-ee9b-4e37-9cbf-75bb42048334"/>
    <xsd:import namespace="9aec9760-0c78-4a95-a274-d126cab3ef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49afd-ee9b-4e37-9cbf-75bb4204833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ec9760-0c78-4a95-a274-d126cab3ef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DA8D0-1337-4638-80ED-FEBE6691CBCC}">
  <ds:schemaRefs>
    <ds:schemaRef ds:uri="http://schemas.microsoft.com/sharepoint/v3/contenttype/forms"/>
  </ds:schemaRefs>
</ds:datastoreItem>
</file>

<file path=customXml/itemProps2.xml><?xml version="1.0" encoding="utf-8"?>
<ds:datastoreItem xmlns:ds="http://schemas.openxmlformats.org/officeDocument/2006/customXml" ds:itemID="{D8EE114D-21CA-428D-BCEA-250FA8DA29FA}">
  <ds:schemaRefs>
    <ds:schemaRef ds:uri="http://schemas.microsoft.com/office/2006/metadata/properties"/>
    <ds:schemaRef ds:uri="http://schemas.microsoft.com/office/infopath/2007/PartnerControls"/>
    <ds:schemaRef ds:uri="c1949afd-ee9b-4e37-9cbf-75bb42048334"/>
  </ds:schemaRefs>
</ds:datastoreItem>
</file>

<file path=customXml/itemProps3.xml><?xml version="1.0" encoding="utf-8"?>
<ds:datastoreItem xmlns:ds="http://schemas.openxmlformats.org/officeDocument/2006/customXml" ds:itemID="{2C521FAC-C9AE-4735-A92D-444336E3D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49afd-ee9b-4e37-9cbf-75bb42048334"/>
    <ds:schemaRef ds:uri="9aec9760-0c78-4a95-a274-d126cab3e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5EDBAF-75B4-4084-AB59-8330C8227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14697</Words>
  <Characters>83775</Characters>
  <Application>Microsoft Office Word</Application>
  <DocSecurity>0</DocSecurity>
  <Lines>698</Lines>
  <Paragraphs>196</Paragraphs>
  <ScaleCrop>false</ScaleCrop>
  <HeadingPairs>
    <vt:vector size="8" baseType="variant">
      <vt:variant>
        <vt:lpstr>Title</vt:lpstr>
      </vt:variant>
      <vt:variant>
        <vt:i4>1</vt:i4>
      </vt:variant>
      <vt:variant>
        <vt:lpstr>Titre</vt:lpstr>
      </vt:variant>
      <vt:variant>
        <vt:i4>1</vt:i4>
      </vt:variant>
      <vt:variant>
        <vt:lpstr>Titolo</vt:lpstr>
      </vt:variant>
      <vt:variant>
        <vt:i4>1</vt:i4>
      </vt:variant>
      <vt:variant>
        <vt:lpstr>Tittel</vt:lpstr>
      </vt:variant>
      <vt:variant>
        <vt:i4>1</vt:i4>
      </vt:variant>
    </vt:vector>
  </HeadingPairs>
  <TitlesOfParts>
    <vt:vector size="4" baseType="lpstr">
      <vt:lpstr/>
      <vt:lpstr/>
      <vt:lpstr/>
      <vt:lpstr/>
    </vt:vector>
  </TitlesOfParts>
  <Company/>
  <LinksUpToDate>false</LinksUpToDate>
  <CharactersWithSpaces>98276</CharactersWithSpaces>
  <SharedDoc>false</SharedDoc>
  <HLinks>
    <vt:vector size="42" baseType="variant">
      <vt:variant>
        <vt:i4>7077901</vt:i4>
      </vt:variant>
      <vt:variant>
        <vt:i4>18</vt:i4>
      </vt:variant>
      <vt:variant>
        <vt:i4>0</vt:i4>
      </vt:variant>
      <vt:variant>
        <vt:i4>5</vt:i4>
      </vt:variant>
      <vt:variant>
        <vt:lpwstr>https://sdmx.org/?page_id=5096</vt:lpwstr>
      </vt:variant>
      <vt:variant>
        <vt:lpwstr/>
      </vt:variant>
      <vt:variant>
        <vt:i4>5374023</vt:i4>
      </vt:variant>
      <vt:variant>
        <vt:i4>15</vt:i4>
      </vt:variant>
      <vt:variant>
        <vt:i4>0</vt:i4>
      </vt:variant>
      <vt:variant>
        <vt:i4>5</vt:i4>
      </vt:variant>
      <vt:variant>
        <vt:lpwstr>https://ec.europa.eu/eurostat/web/products-manuals-and-guidelines/-/KS-GQ-21-021</vt:lpwstr>
      </vt:variant>
      <vt:variant>
        <vt:lpwstr/>
      </vt:variant>
      <vt:variant>
        <vt:i4>2818106</vt:i4>
      </vt:variant>
      <vt:variant>
        <vt:i4>12</vt:i4>
      </vt:variant>
      <vt:variant>
        <vt:i4>0</vt:i4>
      </vt:variant>
      <vt:variant>
        <vt:i4>5</vt:i4>
      </vt:variant>
      <vt:variant>
        <vt:lpwstr>https://unstats.un.org/wiki/pages/viewpage.action?pageId=224264259</vt:lpwstr>
      </vt:variant>
      <vt:variant>
        <vt:lpwstr/>
      </vt:variant>
      <vt:variant>
        <vt:i4>3407932</vt:i4>
      </vt:variant>
      <vt:variant>
        <vt:i4>9</vt:i4>
      </vt:variant>
      <vt:variant>
        <vt:i4>0</vt:i4>
      </vt:variant>
      <vt:variant>
        <vt:i4>5</vt:i4>
      </vt:variant>
      <vt:variant>
        <vt:lpwstr>https://unstats.un.org/UNSDWebsite/data-quality/user-manual</vt:lpwstr>
      </vt:variant>
      <vt:variant>
        <vt:lpwstr/>
      </vt:variant>
      <vt:variant>
        <vt:i4>2031696</vt:i4>
      </vt:variant>
      <vt:variant>
        <vt:i4>6</vt:i4>
      </vt:variant>
      <vt:variant>
        <vt:i4>0</vt:i4>
      </vt:variant>
      <vt:variant>
        <vt:i4>5</vt:i4>
      </vt:variant>
      <vt:variant>
        <vt:lpwstr>https://unstats.un.org/wiki/display/EGNQAFSA/EG-NQAF+Subgroup+on+admin+and+other+data+sources</vt:lpwstr>
      </vt:variant>
      <vt:variant>
        <vt:lpwstr/>
      </vt:variant>
      <vt:variant>
        <vt:i4>2818106</vt:i4>
      </vt:variant>
      <vt:variant>
        <vt:i4>3</vt:i4>
      </vt:variant>
      <vt:variant>
        <vt:i4>0</vt:i4>
      </vt:variant>
      <vt:variant>
        <vt:i4>5</vt:i4>
      </vt:variant>
      <vt:variant>
        <vt:lpwstr>https://unstats.un.org/wiki/pages/viewpage.action?pageId=224264259</vt:lpwstr>
      </vt:variant>
      <vt:variant>
        <vt:lpwstr/>
      </vt:variant>
      <vt:variant>
        <vt:i4>5505097</vt:i4>
      </vt:variant>
      <vt:variant>
        <vt:i4>0</vt:i4>
      </vt:variant>
      <vt:variant>
        <vt:i4>0</vt:i4>
      </vt:variant>
      <vt:variant>
        <vt:i4>5</vt:i4>
      </vt:variant>
      <vt:variant>
        <vt:lpwstr>https://unstats.un.org/unsd/methodology/dataquality/roadmap/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Reister</dc:creator>
  <cp:keywords/>
  <dc:description/>
  <cp:lastModifiedBy>Yuxi Zhang</cp:lastModifiedBy>
  <cp:revision>5</cp:revision>
  <cp:lastPrinted>2024-04-18T01:36:00Z</cp:lastPrinted>
  <dcterms:created xsi:type="dcterms:W3CDTF">2024-05-02T08:28:00Z</dcterms:created>
  <dcterms:modified xsi:type="dcterms:W3CDTF">2024-05-02T18:51:00Z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0x010100F649FE7EE813BC42A62D228DF04E749F</vt:lpwstr>
  </property>
  <property fmtid="{D5CDD505-2E9C-101B-9397-08002B2CF9AE}" pid="3" name="_NewReviewCycle">
    <vt:lpwstr/>
  </property>
  <property fmtid="{D5CDD505-2E9C-101B-9397-08002B2CF9AE}" pid="4" name="GrammarlyDocumentId">
    <vt:lpwstr>f8c529145bf04fa30b3afbc527e8808058356f6457143045c59f9fbbf3f944bc</vt:lpwstr>
  </property>
  <property fmtid="{D5CDD505-2E9C-101B-9397-08002B2CF9AE}" pid="5" name="MSIP_Label_6bd9ddd1-4d20-43f6-abfa-fc3c07406f94_Enabled">
    <vt:lpwstr>true</vt:lpwstr>
  </property>
  <property fmtid="{D5CDD505-2E9C-101B-9397-08002B2CF9AE}" pid="6" name="MSIP_Label_6bd9ddd1-4d20-43f6-abfa-fc3c07406f94_SetDate">
    <vt:lpwstr>2024-04-18T06:28:34Z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142dcff6-c048-4c7d-b5d1-b1a825a07171</vt:lpwstr>
  </property>
  <property fmtid="{D5CDD505-2E9C-101B-9397-08002B2CF9AE}" pid="11" name="MSIP_Label_6bd9ddd1-4d20-43f6-abfa-fc3c07406f94_ContentBits">
    <vt:lpwstr>0</vt:lpwstr>
  </property>
</Properties>
</file>